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A1A5F1" w14:textId="255841BF" w:rsidR="00F63E20" w:rsidRDefault="00000000">
      <w:pPr>
        <w:spacing w:before="480" w:after="120"/>
        <w:jc w:val="center"/>
      </w:pPr>
      <w:r>
        <w:rPr>
          <w:b/>
          <w:bCs/>
          <w:color w:val="1F5FA6"/>
          <w:sz w:val="48"/>
          <w:szCs w:val="48"/>
        </w:rPr>
        <w:t>Life's Deep Connections</w:t>
      </w:r>
    </w:p>
    <w:p w14:paraId="280084E0" w14:textId="77777777" w:rsidR="00F63E20" w:rsidRDefault="00000000">
      <w:pPr>
        <w:spacing w:after="60"/>
        <w:jc w:val="center"/>
      </w:pPr>
      <w:r>
        <w:rPr>
          <w:i/>
          <w:iCs/>
          <w:color w:val="555555"/>
          <w:sz w:val="22"/>
          <w:szCs w:val="22"/>
        </w:rPr>
        <w:t>Tracing Our Origins from the First Cell to Our Gut Microbiome</w:t>
      </w:r>
    </w:p>
    <w:p w14:paraId="36F645F7" w14:textId="77777777" w:rsidR="00F63E20" w:rsidRDefault="00000000">
      <w:pPr>
        <w:spacing w:before="40" w:after="480"/>
        <w:jc w:val="center"/>
      </w:pPr>
      <w:r>
        <w:rPr>
          <w:color w:val="555555"/>
          <w:sz w:val="18"/>
          <w:szCs w:val="18"/>
        </w:rPr>
        <w:t xml:space="preserve">Curated from Nature, Cell, PLOS Biology &amp; Leading Science </w:t>
      </w:r>
      <w:proofErr w:type="gramStart"/>
      <w:r>
        <w:rPr>
          <w:color w:val="555555"/>
          <w:sz w:val="18"/>
          <w:szCs w:val="18"/>
        </w:rPr>
        <w:t>Journals  •</w:t>
      </w:r>
      <w:proofErr w:type="gramEnd"/>
      <w:r>
        <w:rPr>
          <w:color w:val="555555"/>
          <w:sz w:val="18"/>
          <w:szCs w:val="18"/>
        </w:rPr>
        <w:t xml:space="preserve">  2020–2024</w:t>
      </w:r>
    </w:p>
    <w:p w14:paraId="20E6DE3D" w14:textId="77777777" w:rsidR="00F63E20" w:rsidRDefault="00000000">
      <w:pPr>
        <w:pBdr>
          <w:top w:val="single" w:sz="4" w:space="4" w:color="1F5FA6"/>
          <w:left w:val="single" w:sz="16" w:space="8" w:color="1F5FA6"/>
          <w:bottom w:val="single" w:sz="4" w:space="4" w:color="1F5FA6"/>
        </w:pBdr>
        <w:shd w:val="clear" w:color="auto" w:fill="EBF3FB"/>
        <w:spacing w:after="60"/>
      </w:pPr>
      <w:r>
        <w:rPr>
          <w:b/>
          <w:bCs/>
          <w:color w:val="1F5FA6"/>
          <w:sz w:val="22"/>
          <w:szCs w:val="22"/>
        </w:rPr>
        <w:t xml:space="preserve">  How to Use This Guide</w:t>
      </w:r>
    </w:p>
    <w:p w14:paraId="53E884E7" w14:textId="77777777" w:rsidR="00F63E20" w:rsidRDefault="00000000">
      <w:pPr>
        <w:pBdr>
          <w:left w:val="single" w:sz="16" w:space="8" w:color="1F5FA6"/>
          <w:bottom w:val="single" w:sz="4" w:space="4" w:color="1F5FA6"/>
        </w:pBdr>
        <w:shd w:val="clear" w:color="auto" w:fill="EBF3FB"/>
        <w:spacing w:after="200"/>
      </w:pPr>
      <w:r>
        <w:rPr>
          <w:color w:val="1A1A2E"/>
          <w:sz w:val="19"/>
          <w:szCs w:val="19"/>
        </w:rPr>
        <w:t xml:space="preserve">  Each entry below lists the article title, journal, year, and the full web address (URL) to find it. Simply type or copy the URL into your browser. Many articles are freely accessible; some may require library access. Articles are organized by topic, building from the ancient origins of life to the living communities in your gut today.</w:t>
      </w:r>
    </w:p>
    <w:p w14:paraId="1A3F7B58" w14:textId="77777777" w:rsidR="00F63E20" w:rsidRDefault="00F63E20">
      <w:pPr>
        <w:spacing w:before="80" w:after="80"/>
      </w:pPr>
    </w:p>
    <w:p w14:paraId="106BA840" w14:textId="77777777" w:rsidR="00F63E20" w:rsidRDefault="00000000">
      <w:pPr>
        <w:pStyle w:val="Heading1"/>
        <w:pBdr>
          <w:bottom w:val="single" w:sz="4" w:space="4" w:color="2E7D32"/>
        </w:pBdr>
      </w:pPr>
      <w:r>
        <w:t>SECTION 1: Tracing Our Genes Back to LUCA</w:t>
      </w:r>
    </w:p>
    <w:p w14:paraId="0D226B75" w14:textId="77777777" w:rsidR="00F63E20" w:rsidRDefault="00000000">
      <w:pPr>
        <w:spacing w:before="60" w:after="60"/>
      </w:pPr>
      <w:r>
        <w:rPr>
          <w:color w:val="1A1A2E"/>
        </w:rPr>
        <w:t>LUCA stands for the Last Universal Common Ancestor — the single ancient cell from which every living thing on Earth descends, from bacteria to oak trees to humans. Scientists study shared genes across all species to reconstruct what this ancestor was like.</w:t>
      </w:r>
    </w:p>
    <w:p w14:paraId="7C811090" w14:textId="77777777" w:rsidR="00F63E20" w:rsidRDefault="00F63E20">
      <w:pPr>
        <w:spacing w:before="80" w:after="80"/>
      </w:pPr>
    </w:p>
    <w:p w14:paraId="7E6552D4" w14:textId="77777777" w:rsidR="00F63E20" w:rsidRDefault="00000000">
      <w:pPr>
        <w:pStyle w:val="Heading2"/>
      </w:pPr>
      <w:r>
        <w:t>Featured Articles</w:t>
      </w:r>
    </w:p>
    <w:p w14:paraId="10278C39" w14:textId="77777777" w:rsidR="00F63E20" w:rsidRDefault="00000000">
      <w:pPr>
        <w:spacing w:before="240" w:after="60"/>
      </w:pPr>
      <w:r>
        <w:rPr>
          <w:b/>
          <w:bCs/>
          <w:color w:val="1F5FA6"/>
          <w:sz w:val="22"/>
          <w:szCs w:val="22"/>
        </w:rPr>
        <w:t xml:space="preserve">1. </w:t>
      </w:r>
      <w:r>
        <w:rPr>
          <w:b/>
          <w:bCs/>
          <w:color w:val="1A1A2E"/>
          <w:sz w:val="22"/>
          <w:szCs w:val="22"/>
        </w:rPr>
        <w:t>The Nature of the Last Universal Common Ancestor and Its Impact on the Early Earth System</w:t>
      </w:r>
    </w:p>
    <w:p w14:paraId="583B2E43" w14:textId="77777777" w:rsidR="00F63E20" w:rsidRDefault="00000000">
      <w:pPr>
        <w:spacing w:before="40" w:after="40"/>
        <w:ind w:left="360"/>
      </w:pPr>
      <w:r>
        <w:rPr>
          <w:b/>
          <w:bCs/>
          <w:color w:val="555555"/>
        </w:rPr>
        <w:t xml:space="preserve">Journal: </w:t>
      </w:r>
      <w:r>
        <w:rPr>
          <w:color w:val="1A1A2E"/>
        </w:rPr>
        <w:t>Nature Ecology &amp; Evolution</w:t>
      </w:r>
    </w:p>
    <w:p w14:paraId="716AAC16" w14:textId="77777777" w:rsidR="00F63E20" w:rsidRDefault="00000000">
      <w:pPr>
        <w:spacing w:before="40" w:after="40"/>
        <w:ind w:left="360"/>
      </w:pPr>
      <w:r>
        <w:rPr>
          <w:b/>
          <w:bCs/>
          <w:color w:val="555555"/>
        </w:rPr>
        <w:t xml:space="preserve">Year: </w:t>
      </w:r>
      <w:r>
        <w:rPr>
          <w:color w:val="1A1A2E"/>
        </w:rPr>
        <w:t>2024</w:t>
      </w:r>
    </w:p>
    <w:p w14:paraId="2458A97A" w14:textId="77777777" w:rsidR="00F63E20" w:rsidRDefault="00000000">
      <w:pPr>
        <w:spacing w:before="40" w:after="40"/>
        <w:ind w:left="360"/>
      </w:pPr>
      <w:r>
        <w:rPr>
          <w:b/>
          <w:bCs/>
          <w:color w:val="555555"/>
        </w:rPr>
        <w:t xml:space="preserve">Authors: </w:t>
      </w:r>
      <w:r>
        <w:rPr>
          <w:color w:val="1A1A2E"/>
        </w:rPr>
        <w:t>Moody, E.R.R. et al.</w:t>
      </w:r>
    </w:p>
    <w:p w14:paraId="786A6CEE" w14:textId="77777777" w:rsidR="00F63E20" w:rsidRDefault="00000000">
      <w:pPr>
        <w:spacing w:before="40" w:after="80"/>
        <w:ind w:left="360"/>
      </w:pPr>
      <w:r>
        <w:rPr>
          <w:i/>
          <w:iCs/>
          <w:color w:val="1A1A2E"/>
        </w:rPr>
        <w:t>The landmark 2024 study that placed LUCA at approximately 4.2 billion years ago and showed it was surprisingly complex — already possessing around 2,600 proteins and a primitive immune system, part of a living ecosystem. This is the definitive modern paper on LUCA's nature and age.</w:t>
      </w:r>
    </w:p>
    <w:p w14:paraId="25E1EED5" w14:textId="77777777" w:rsidR="00F63E20" w:rsidRDefault="00000000">
      <w:pPr>
        <w:spacing w:before="40" w:after="60"/>
        <w:ind w:left="360"/>
      </w:pPr>
      <w:r>
        <w:rPr>
          <w:b/>
          <w:bCs/>
          <w:color w:val="555555"/>
        </w:rPr>
        <w:t xml:space="preserve">Full Article URL: </w:t>
      </w:r>
      <w:hyperlink r:id="rId5" w:history="1">
        <w:r>
          <w:rPr>
            <w:rFonts w:ascii="Courier New" w:eastAsia="Courier New" w:hAnsi="Courier New" w:cs="Courier New"/>
            <w:color w:val="1F5FA6"/>
            <w:sz w:val="19"/>
            <w:szCs w:val="19"/>
            <w:u w:val="single"/>
          </w:rPr>
          <w:t>https://www.nature.com/articles/s41559-024-02461-1</w:t>
        </w:r>
      </w:hyperlink>
    </w:p>
    <w:p w14:paraId="67942B55" w14:textId="77777777" w:rsidR="00F63E20" w:rsidRDefault="00F63E20">
      <w:pPr>
        <w:pBdr>
          <w:top w:val="single" w:sz="2" w:space="1" w:color="DDDDDD"/>
        </w:pBdr>
        <w:spacing w:before="120" w:after="40"/>
      </w:pPr>
    </w:p>
    <w:p w14:paraId="3A4F406F" w14:textId="77777777" w:rsidR="00F63E20" w:rsidRDefault="00000000">
      <w:pPr>
        <w:spacing w:before="240" w:after="60"/>
      </w:pPr>
      <w:r>
        <w:rPr>
          <w:b/>
          <w:bCs/>
          <w:color w:val="1F5FA6"/>
          <w:sz w:val="22"/>
          <w:szCs w:val="22"/>
        </w:rPr>
        <w:t xml:space="preserve">2. </w:t>
      </w:r>
      <w:r>
        <w:rPr>
          <w:b/>
          <w:bCs/>
          <w:color w:val="1A1A2E"/>
          <w:sz w:val="22"/>
          <w:szCs w:val="22"/>
        </w:rPr>
        <w:t>A New View of the Last Universal Common Ancestor</w:t>
      </w:r>
    </w:p>
    <w:p w14:paraId="0D67B307" w14:textId="77777777" w:rsidR="00F63E20" w:rsidRDefault="00000000">
      <w:pPr>
        <w:spacing w:before="40" w:after="40"/>
        <w:ind w:left="360"/>
      </w:pPr>
      <w:r>
        <w:rPr>
          <w:b/>
          <w:bCs/>
          <w:color w:val="555555"/>
        </w:rPr>
        <w:t xml:space="preserve">Journal: </w:t>
      </w:r>
      <w:r>
        <w:rPr>
          <w:color w:val="1A1A2E"/>
        </w:rPr>
        <w:t>Journal of Molecular Evolution (PubMed Central / NIH)</w:t>
      </w:r>
    </w:p>
    <w:p w14:paraId="5E4BB8B5" w14:textId="77777777" w:rsidR="00F63E20" w:rsidRDefault="00000000">
      <w:pPr>
        <w:spacing w:before="40" w:after="40"/>
        <w:ind w:left="360"/>
      </w:pPr>
      <w:r>
        <w:rPr>
          <w:b/>
          <w:bCs/>
          <w:color w:val="555555"/>
        </w:rPr>
        <w:t xml:space="preserve">Year: </w:t>
      </w:r>
      <w:r>
        <w:rPr>
          <w:color w:val="1A1A2E"/>
        </w:rPr>
        <w:t>2024</w:t>
      </w:r>
    </w:p>
    <w:p w14:paraId="19F9D531" w14:textId="77777777" w:rsidR="00F63E20" w:rsidRDefault="00000000">
      <w:pPr>
        <w:spacing w:before="40" w:after="80"/>
        <w:ind w:left="360"/>
      </w:pPr>
      <w:r>
        <w:rPr>
          <w:i/>
          <w:iCs/>
          <w:color w:val="1A1A2E"/>
        </w:rPr>
        <w:t>A companion review that situates the Moody et al. findings in the broader landscape of LUCA research. Explains in accessible terms how molecular clocks and gene trees are used to estimate the age and characteristics of our most ancient ancestor. Excellent context piece for non-specialists.</w:t>
      </w:r>
    </w:p>
    <w:p w14:paraId="20747FAF" w14:textId="77777777" w:rsidR="00F63E20" w:rsidRDefault="00000000">
      <w:pPr>
        <w:spacing w:before="40" w:after="60"/>
        <w:ind w:left="360"/>
      </w:pPr>
      <w:r>
        <w:rPr>
          <w:b/>
          <w:bCs/>
          <w:color w:val="555555"/>
        </w:rPr>
        <w:t xml:space="preserve">Full Article URL: </w:t>
      </w:r>
      <w:hyperlink r:id="rId6" w:history="1">
        <w:r>
          <w:rPr>
            <w:rFonts w:ascii="Courier New" w:eastAsia="Courier New" w:hAnsi="Courier New" w:cs="Courier New"/>
            <w:color w:val="1F5FA6"/>
            <w:sz w:val="19"/>
            <w:szCs w:val="19"/>
            <w:u w:val="single"/>
          </w:rPr>
          <w:t>https://pmc.ncbi.nlm.nih.gov/articles/PMC11458664/</w:t>
        </w:r>
      </w:hyperlink>
    </w:p>
    <w:p w14:paraId="30532FF8" w14:textId="77777777" w:rsidR="00F63E20" w:rsidRDefault="00F63E20">
      <w:pPr>
        <w:pBdr>
          <w:top w:val="single" w:sz="2" w:space="1" w:color="DDDDDD"/>
        </w:pBdr>
        <w:spacing w:before="120" w:after="40"/>
      </w:pPr>
    </w:p>
    <w:p w14:paraId="02641D4E" w14:textId="77777777" w:rsidR="00F63E20" w:rsidRDefault="00000000">
      <w:pPr>
        <w:spacing w:before="240" w:after="60"/>
      </w:pPr>
      <w:r>
        <w:rPr>
          <w:b/>
          <w:bCs/>
          <w:color w:val="1F5FA6"/>
          <w:sz w:val="22"/>
          <w:szCs w:val="22"/>
        </w:rPr>
        <w:t xml:space="preserve">3. </w:t>
      </w:r>
      <w:r>
        <w:rPr>
          <w:b/>
          <w:bCs/>
          <w:color w:val="1A1A2E"/>
          <w:sz w:val="22"/>
          <w:szCs w:val="22"/>
        </w:rPr>
        <w:t>The Last Universal Common Ancestor Between Ancient Earth Chemistry and the Onset of Genetics</w:t>
      </w:r>
    </w:p>
    <w:p w14:paraId="55C4F581" w14:textId="77777777" w:rsidR="00F63E20" w:rsidRDefault="00000000">
      <w:pPr>
        <w:spacing w:before="40" w:after="40"/>
        <w:ind w:left="360"/>
      </w:pPr>
      <w:r>
        <w:rPr>
          <w:b/>
          <w:bCs/>
          <w:color w:val="555555"/>
        </w:rPr>
        <w:t xml:space="preserve">Journal: </w:t>
      </w:r>
      <w:r>
        <w:rPr>
          <w:color w:val="1A1A2E"/>
        </w:rPr>
        <w:t>PLOS Biology (PubMed Central / NIH)</w:t>
      </w:r>
    </w:p>
    <w:p w14:paraId="000B2A3D" w14:textId="77777777" w:rsidR="00F63E20" w:rsidRDefault="00000000">
      <w:pPr>
        <w:spacing w:before="40" w:after="40"/>
        <w:ind w:left="360"/>
      </w:pPr>
      <w:r>
        <w:rPr>
          <w:b/>
          <w:bCs/>
          <w:color w:val="555555"/>
        </w:rPr>
        <w:lastRenderedPageBreak/>
        <w:t xml:space="preserve">Year: </w:t>
      </w:r>
      <w:r>
        <w:rPr>
          <w:color w:val="1A1A2E"/>
        </w:rPr>
        <w:t>2018 (foundational reference, freely accessible)</w:t>
      </w:r>
    </w:p>
    <w:p w14:paraId="47601E82" w14:textId="77777777" w:rsidR="00F63E20" w:rsidRDefault="00000000">
      <w:pPr>
        <w:spacing w:before="40" w:after="80"/>
        <w:ind w:left="360"/>
      </w:pPr>
      <w:r>
        <w:rPr>
          <w:i/>
          <w:iCs/>
          <w:color w:val="1A1A2E"/>
        </w:rPr>
        <w:t>A highly readable exploration of what LUCA's genes tell us about its environment and lifestyle. Explains why LUCA likely lived near hydrothermal vents and how its ecology connects to the harshness of early Earth. One of the most cited modern LUCA papers, written with clarity.</w:t>
      </w:r>
    </w:p>
    <w:p w14:paraId="4D7F2B7B" w14:textId="77777777" w:rsidR="00F63E20" w:rsidRDefault="00000000">
      <w:pPr>
        <w:spacing w:before="40" w:after="60"/>
        <w:ind w:left="360"/>
      </w:pPr>
      <w:r>
        <w:rPr>
          <w:b/>
          <w:bCs/>
          <w:color w:val="555555"/>
        </w:rPr>
        <w:t xml:space="preserve">Full Article URL: </w:t>
      </w:r>
      <w:hyperlink r:id="rId7" w:history="1">
        <w:r>
          <w:rPr>
            <w:rFonts w:ascii="Courier New" w:eastAsia="Courier New" w:hAnsi="Courier New" w:cs="Courier New"/>
            <w:color w:val="1F5FA6"/>
            <w:sz w:val="19"/>
            <w:szCs w:val="19"/>
            <w:u w:val="single"/>
          </w:rPr>
          <w:t>https://pmc.ncbi.nlm.nih.gov/articles/PMC6095482/</w:t>
        </w:r>
      </w:hyperlink>
    </w:p>
    <w:p w14:paraId="22B3F563" w14:textId="77777777" w:rsidR="00F63E20" w:rsidRDefault="00F63E20">
      <w:pPr>
        <w:spacing w:before="80" w:after="80"/>
      </w:pPr>
    </w:p>
    <w:p w14:paraId="6CD9996D" w14:textId="77777777" w:rsidR="00F63E20" w:rsidRDefault="00000000">
      <w:pPr>
        <w:pStyle w:val="Heading1"/>
        <w:pBdr>
          <w:bottom w:val="single" w:sz="4" w:space="4" w:color="2E7D32"/>
        </w:pBdr>
      </w:pPr>
      <w:r>
        <w:t>SECTION 2: ATP — The Universal Energy Molecule of All Life</w:t>
      </w:r>
    </w:p>
    <w:p w14:paraId="72DFC8DB" w14:textId="77777777" w:rsidR="00F63E20" w:rsidRDefault="00000000">
      <w:pPr>
        <w:spacing w:before="60" w:after="60"/>
      </w:pPr>
      <w:r>
        <w:rPr>
          <w:color w:val="1A1A2E"/>
        </w:rPr>
        <w:t>ATP (adenosine triphosphate) is the molecule every cell on Earth — from the simplest bacterium to your own neurons — uses to store and release energy. Understanding ATP is understanding the currency of life itself.</w:t>
      </w:r>
    </w:p>
    <w:p w14:paraId="0E2966E2" w14:textId="77777777" w:rsidR="00F63E20" w:rsidRDefault="00F63E20">
      <w:pPr>
        <w:spacing w:before="80" w:after="80"/>
      </w:pPr>
    </w:p>
    <w:p w14:paraId="655CA02D" w14:textId="77777777" w:rsidR="00F63E20" w:rsidRDefault="00000000">
      <w:pPr>
        <w:pStyle w:val="Heading2"/>
      </w:pPr>
      <w:r>
        <w:t>Featured Articles</w:t>
      </w:r>
    </w:p>
    <w:p w14:paraId="2D79C168" w14:textId="77777777" w:rsidR="00F63E20" w:rsidRDefault="00000000">
      <w:pPr>
        <w:spacing w:before="240" w:after="60"/>
      </w:pPr>
      <w:r>
        <w:rPr>
          <w:b/>
          <w:bCs/>
          <w:color w:val="1F5FA6"/>
          <w:sz w:val="22"/>
          <w:szCs w:val="22"/>
        </w:rPr>
        <w:t xml:space="preserve">4. </w:t>
      </w:r>
      <w:r>
        <w:rPr>
          <w:b/>
          <w:bCs/>
          <w:color w:val="1A1A2E"/>
          <w:sz w:val="22"/>
          <w:szCs w:val="22"/>
        </w:rPr>
        <w:t>The Legend of ATP: From Origin of Life to Precision Medicine</w:t>
      </w:r>
    </w:p>
    <w:p w14:paraId="32FD6B34" w14:textId="77777777" w:rsidR="00F63E20" w:rsidRDefault="00000000">
      <w:pPr>
        <w:spacing w:before="40" w:after="40"/>
        <w:ind w:left="360"/>
      </w:pPr>
      <w:r>
        <w:rPr>
          <w:b/>
          <w:bCs/>
          <w:color w:val="555555"/>
        </w:rPr>
        <w:t xml:space="preserve">Journal: </w:t>
      </w:r>
      <w:r>
        <w:rPr>
          <w:color w:val="1A1A2E"/>
        </w:rPr>
        <w:t>Metabolites (MDPI, Open Access)</w:t>
      </w:r>
    </w:p>
    <w:p w14:paraId="3F067B1D" w14:textId="77777777" w:rsidR="00F63E20" w:rsidRDefault="00000000">
      <w:pPr>
        <w:spacing w:before="40" w:after="40"/>
        <w:ind w:left="360"/>
      </w:pPr>
      <w:r>
        <w:rPr>
          <w:b/>
          <w:bCs/>
          <w:color w:val="555555"/>
        </w:rPr>
        <w:t xml:space="preserve">Year: </w:t>
      </w:r>
      <w:r>
        <w:rPr>
          <w:color w:val="1A1A2E"/>
        </w:rPr>
        <w:t>2022</w:t>
      </w:r>
    </w:p>
    <w:p w14:paraId="76ADDD7A" w14:textId="77777777" w:rsidR="00F63E20" w:rsidRDefault="00000000">
      <w:pPr>
        <w:spacing w:before="40" w:after="80"/>
        <w:ind w:left="360"/>
      </w:pPr>
      <w:r>
        <w:rPr>
          <w:i/>
          <w:iCs/>
          <w:color w:val="1A1A2E"/>
        </w:rPr>
        <w:t>A beautifully written review tracing ATP's story from the very origin of life to its roles in modern medicine. Explains how ATP likely existed before enzymes, how it helps proteins fold, and why every living cell — bacteria, plant, or animal — relies on it. Highly accessible for general readers.</w:t>
      </w:r>
    </w:p>
    <w:p w14:paraId="07167847" w14:textId="77777777" w:rsidR="00F63E20" w:rsidRDefault="00000000">
      <w:pPr>
        <w:spacing w:before="40" w:after="60"/>
        <w:ind w:left="360"/>
      </w:pPr>
      <w:r>
        <w:rPr>
          <w:b/>
          <w:bCs/>
          <w:color w:val="555555"/>
        </w:rPr>
        <w:t xml:space="preserve">Full Article URL: </w:t>
      </w:r>
      <w:hyperlink r:id="rId8" w:history="1">
        <w:r>
          <w:rPr>
            <w:rFonts w:ascii="Courier New" w:eastAsia="Courier New" w:hAnsi="Courier New" w:cs="Courier New"/>
            <w:color w:val="1F5FA6"/>
            <w:sz w:val="19"/>
            <w:szCs w:val="19"/>
            <w:u w:val="single"/>
          </w:rPr>
          <w:t>https://pmc.ncbi.nlm.nih.gov/articles/PMC9148104/</w:t>
        </w:r>
      </w:hyperlink>
    </w:p>
    <w:p w14:paraId="0410DF17" w14:textId="77777777" w:rsidR="00F63E20" w:rsidRDefault="00F63E20">
      <w:pPr>
        <w:pBdr>
          <w:top w:val="single" w:sz="2" w:space="1" w:color="DDDDDD"/>
        </w:pBdr>
        <w:spacing w:before="120" w:after="40"/>
      </w:pPr>
    </w:p>
    <w:p w14:paraId="164B17AD" w14:textId="77777777" w:rsidR="00F63E20" w:rsidRDefault="00000000">
      <w:pPr>
        <w:spacing w:before="240" w:after="60"/>
      </w:pPr>
      <w:r>
        <w:rPr>
          <w:b/>
          <w:bCs/>
          <w:color w:val="1F5FA6"/>
          <w:sz w:val="22"/>
          <w:szCs w:val="22"/>
        </w:rPr>
        <w:t xml:space="preserve">5. </w:t>
      </w:r>
      <w:r>
        <w:rPr>
          <w:b/>
          <w:bCs/>
          <w:color w:val="1A1A2E"/>
          <w:sz w:val="22"/>
          <w:szCs w:val="22"/>
        </w:rPr>
        <w:t>A Prebiotic Basis for ATP as the Universal Energy Currency</w:t>
      </w:r>
    </w:p>
    <w:p w14:paraId="59D802AA" w14:textId="77777777" w:rsidR="00F63E20" w:rsidRDefault="00000000">
      <w:pPr>
        <w:spacing w:before="40" w:after="40"/>
        <w:ind w:left="360"/>
      </w:pPr>
      <w:r>
        <w:rPr>
          <w:b/>
          <w:bCs/>
          <w:color w:val="555555"/>
        </w:rPr>
        <w:t xml:space="preserve">Journal: </w:t>
      </w:r>
      <w:r>
        <w:rPr>
          <w:color w:val="1A1A2E"/>
        </w:rPr>
        <w:t>PLOS Biology</w:t>
      </w:r>
    </w:p>
    <w:p w14:paraId="4EEB2426" w14:textId="77777777" w:rsidR="00F63E20" w:rsidRDefault="00000000">
      <w:pPr>
        <w:spacing w:before="40" w:after="40"/>
        <w:ind w:left="360"/>
      </w:pPr>
      <w:r>
        <w:rPr>
          <w:b/>
          <w:bCs/>
          <w:color w:val="555555"/>
        </w:rPr>
        <w:t xml:space="preserve">Year: </w:t>
      </w:r>
      <w:r>
        <w:rPr>
          <w:color w:val="1A1A2E"/>
        </w:rPr>
        <w:t>2022</w:t>
      </w:r>
    </w:p>
    <w:p w14:paraId="2DD6B154" w14:textId="77777777" w:rsidR="00F63E20" w:rsidRDefault="00000000">
      <w:pPr>
        <w:spacing w:before="40" w:after="40"/>
        <w:ind w:left="360"/>
      </w:pPr>
      <w:r>
        <w:rPr>
          <w:b/>
          <w:bCs/>
          <w:color w:val="555555"/>
        </w:rPr>
        <w:t xml:space="preserve">Authors: </w:t>
      </w:r>
      <w:r>
        <w:rPr>
          <w:color w:val="1A1A2E"/>
        </w:rPr>
        <w:t xml:space="preserve">Pinna, S., Lane, N. et </w:t>
      </w:r>
      <w:proofErr w:type="gramStart"/>
      <w:r>
        <w:rPr>
          <w:color w:val="1A1A2E"/>
        </w:rPr>
        <w:t>al. —</w:t>
      </w:r>
      <w:proofErr w:type="gramEnd"/>
      <w:r>
        <w:rPr>
          <w:color w:val="1A1A2E"/>
        </w:rPr>
        <w:t xml:space="preserve"> University College London</w:t>
      </w:r>
    </w:p>
    <w:p w14:paraId="205DB018" w14:textId="77777777" w:rsidR="00F63E20" w:rsidRDefault="00000000">
      <w:pPr>
        <w:spacing w:before="40" w:after="80"/>
        <w:ind w:left="360"/>
      </w:pPr>
      <w:r>
        <w:rPr>
          <w:i/>
          <w:iCs/>
          <w:color w:val="1A1A2E"/>
        </w:rPr>
        <w:t>This groundbreaking study by Nick Lane's team explains why ATP became life's universal energy carrier — not by accident, but because of the unique chemistry of iron and a simple two-carbon compound. It shows that the conditions of early Earth specifically favored ATP over all alternatives, a finding with profound implications for how life began.</w:t>
      </w:r>
    </w:p>
    <w:p w14:paraId="4539549F" w14:textId="77777777" w:rsidR="00F63E20" w:rsidRDefault="00000000">
      <w:pPr>
        <w:spacing w:before="40" w:after="60"/>
        <w:ind w:left="360"/>
      </w:pPr>
      <w:r>
        <w:rPr>
          <w:b/>
          <w:bCs/>
          <w:color w:val="555555"/>
        </w:rPr>
        <w:t xml:space="preserve">Full Article URL: </w:t>
      </w:r>
      <w:hyperlink r:id="rId9" w:history="1">
        <w:r>
          <w:rPr>
            <w:rFonts w:ascii="Courier New" w:eastAsia="Courier New" w:hAnsi="Courier New" w:cs="Courier New"/>
            <w:color w:val="1F5FA6"/>
            <w:sz w:val="19"/>
            <w:szCs w:val="19"/>
            <w:u w:val="single"/>
          </w:rPr>
          <w:t>https://pmc.ncbi.nlm.nih.gov/articles/PMC9531788/</w:t>
        </w:r>
      </w:hyperlink>
    </w:p>
    <w:p w14:paraId="437031AD" w14:textId="77777777" w:rsidR="00F63E20" w:rsidRDefault="00F63E20">
      <w:pPr>
        <w:pBdr>
          <w:top w:val="single" w:sz="2" w:space="1" w:color="DDDDDD"/>
        </w:pBdr>
        <w:spacing w:before="120" w:after="40"/>
      </w:pPr>
    </w:p>
    <w:p w14:paraId="422E927D" w14:textId="77777777" w:rsidR="00F63E20" w:rsidRDefault="00000000">
      <w:pPr>
        <w:spacing w:before="240" w:after="60"/>
      </w:pPr>
      <w:r>
        <w:rPr>
          <w:b/>
          <w:bCs/>
          <w:color w:val="1F5FA6"/>
          <w:sz w:val="22"/>
          <w:szCs w:val="22"/>
        </w:rPr>
        <w:t xml:space="preserve">6. </w:t>
      </w:r>
      <w:r>
        <w:rPr>
          <w:b/>
          <w:bCs/>
          <w:color w:val="1A1A2E"/>
          <w:sz w:val="22"/>
          <w:szCs w:val="22"/>
        </w:rPr>
        <w:t>ATP — Definition, Structure, Function</w:t>
      </w:r>
    </w:p>
    <w:p w14:paraId="0FB69AAF" w14:textId="77777777" w:rsidR="00F63E20" w:rsidRDefault="00000000">
      <w:pPr>
        <w:spacing w:before="40" w:after="40"/>
        <w:ind w:left="360"/>
      </w:pPr>
      <w:r>
        <w:rPr>
          <w:b/>
          <w:bCs/>
          <w:color w:val="555555"/>
        </w:rPr>
        <w:t xml:space="preserve">Source: </w:t>
      </w:r>
      <w:r>
        <w:rPr>
          <w:color w:val="1A1A2E"/>
        </w:rPr>
        <w:t xml:space="preserve">Nature </w:t>
      </w:r>
      <w:proofErr w:type="spellStart"/>
      <w:r>
        <w:rPr>
          <w:color w:val="1A1A2E"/>
        </w:rPr>
        <w:t>Scitable</w:t>
      </w:r>
      <w:proofErr w:type="spellEnd"/>
      <w:r>
        <w:rPr>
          <w:color w:val="1A1A2E"/>
        </w:rPr>
        <w:t xml:space="preserve"> (Nature Education — freely accessible)</w:t>
      </w:r>
    </w:p>
    <w:p w14:paraId="6B58D3CF" w14:textId="77777777" w:rsidR="00F63E20" w:rsidRDefault="00000000">
      <w:pPr>
        <w:spacing w:before="40" w:after="40"/>
        <w:ind w:left="360"/>
      </w:pPr>
      <w:r>
        <w:rPr>
          <w:b/>
          <w:bCs/>
          <w:color w:val="555555"/>
        </w:rPr>
        <w:t xml:space="preserve">Year: </w:t>
      </w:r>
      <w:r>
        <w:rPr>
          <w:color w:val="1A1A2E"/>
        </w:rPr>
        <w:t>Continuously updated</w:t>
      </w:r>
    </w:p>
    <w:p w14:paraId="49C29ACB" w14:textId="77777777" w:rsidR="00F63E20" w:rsidRDefault="00000000">
      <w:pPr>
        <w:spacing w:before="40" w:after="80"/>
        <w:ind w:left="360"/>
      </w:pPr>
      <w:r>
        <w:rPr>
          <w:i/>
          <w:iCs/>
          <w:color w:val="1A1A2E"/>
        </w:rPr>
        <w:t>Nature's own educational platform explains ATP in plain language: what it is, how it stores energy like a rechargeable battery, and how plants, animals, and bacteria all use it. This is the ideal starting point for a reader new to the topic.</w:t>
      </w:r>
    </w:p>
    <w:p w14:paraId="49B93B7B" w14:textId="77777777" w:rsidR="00F63E20" w:rsidRDefault="00000000">
      <w:pPr>
        <w:spacing w:before="40" w:after="60"/>
        <w:ind w:left="360"/>
      </w:pPr>
      <w:r>
        <w:rPr>
          <w:b/>
          <w:bCs/>
          <w:color w:val="555555"/>
        </w:rPr>
        <w:t xml:space="preserve">Full Article URL: </w:t>
      </w:r>
      <w:hyperlink r:id="rId10" w:history="1">
        <w:r>
          <w:rPr>
            <w:rFonts w:ascii="Courier New" w:eastAsia="Courier New" w:hAnsi="Courier New" w:cs="Courier New"/>
            <w:color w:val="1F5FA6"/>
            <w:sz w:val="19"/>
            <w:szCs w:val="19"/>
            <w:u w:val="single"/>
          </w:rPr>
          <w:t>https://www.nature.com/scitable/definition/atp-318/</w:t>
        </w:r>
      </w:hyperlink>
    </w:p>
    <w:p w14:paraId="622BC070" w14:textId="77777777" w:rsidR="00F63E20" w:rsidRDefault="00F63E20">
      <w:pPr>
        <w:spacing w:before="80" w:after="80"/>
      </w:pPr>
    </w:p>
    <w:p w14:paraId="438271F6" w14:textId="77777777" w:rsidR="00F63E20" w:rsidRDefault="00000000">
      <w:pPr>
        <w:pStyle w:val="Heading1"/>
        <w:pBdr>
          <w:bottom w:val="single" w:sz="4" w:space="4" w:color="2E7D32"/>
        </w:pBdr>
      </w:pPr>
      <w:r>
        <w:t>SECTION 3: Endosymbiotic Theory — How Ancient Bacteria Became Our Mitochondria</w:t>
      </w:r>
    </w:p>
    <w:p w14:paraId="7E5ACC12" w14:textId="77777777" w:rsidR="00F63E20" w:rsidRDefault="00000000">
      <w:pPr>
        <w:spacing w:before="60" w:after="60"/>
      </w:pPr>
      <w:r>
        <w:rPr>
          <w:color w:val="1A1A2E"/>
        </w:rPr>
        <w:lastRenderedPageBreak/>
        <w:t>About 1.8 billion years ago, a small bacterium was swallowed by a larger cell — and instead of being digested, it became a permanent resident. That ancient bacterium is the ancestor of every mitochondrion in every plant and animal cell alive today. This is the endosymbiotic theory.</w:t>
      </w:r>
    </w:p>
    <w:p w14:paraId="7C53C958" w14:textId="77777777" w:rsidR="00F63E20" w:rsidRDefault="00F63E20">
      <w:pPr>
        <w:spacing w:before="80" w:after="80"/>
      </w:pPr>
    </w:p>
    <w:p w14:paraId="35602A15" w14:textId="77777777" w:rsidR="00F63E20" w:rsidRDefault="00000000">
      <w:pPr>
        <w:pStyle w:val="Heading2"/>
      </w:pPr>
      <w:r>
        <w:t>Featured Articles</w:t>
      </w:r>
    </w:p>
    <w:p w14:paraId="453B3DDF" w14:textId="77777777" w:rsidR="00F63E20" w:rsidRDefault="00000000">
      <w:pPr>
        <w:spacing w:before="240" w:after="60"/>
      </w:pPr>
      <w:r>
        <w:rPr>
          <w:b/>
          <w:bCs/>
          <w:color w:val="1F5FA6"/>
          <w:sz w:val="22"/>
          <w:szCs w:val="22"/>
        </w:rPr>
        <w:t xml:space="preserve">7. </w:t>
      </w:r>
      <w:proofErr w:type="spellStart"/>
      <w:r>
        <w:rPr>
          <w:b/>
          <w:bCs/>
          <w:color w:val="1A1A2E"/>
          <w:sz w:val="22"/>
          <w:szCs w:val="22"/>
        </w:rPr>
        <w:t>Endosymbioses</w:t>
      </w:r>
      <w:proofErr w:type="spellEnd"/>
      <w:r>
        <w:rPr>
          <w:b/>
          <w:bCs/>
          <w:color w:val="1A1A2E"/>
          <w:sz w:val="22"/>
          <w:szCs w:val="22"/>
        </w:rPr>
        <w:t xml:space="preserve"> Have Shaped the Evolution of Biological Diversity and Complexity Time and Time Again</w:t>
      </w:r>
    </w:p>
    <w:p w14:paraId="0CC1707A" w14:textId="77777777" w:rsidR="00F63E20" w:rsidRDefault="00000000">
      <w:pPr>
        <w:spacing w:before="40" w:after="40"/>
        <w:ind w:left="360"/>
      </w:pPr>
      <w:r>
        <w:rPr>
          <w:b/>
          <w:bCs/>
          <w:color w:val="555555"/>
        </w:rPr>
        <w:t xml:space="preserve">Journal: </w:t>
      </w:r>
      <w:r>
        <w:rPr>
          <w:color w:val="1A1A2E"/>
        </w:rPr>
        <w:t>Genome Biology and Evolution (Oxford Academic)</w:t>
      </w:r>
    </w:p>
    <w:p w14:paraId="7404B157" w14:textId="77777777" w:rsidR="00F63E20" w:rsidRDefault="00000000">
      <w:pPr>
        <w:spacing w:before="40" w:after="40"/>
        <w:ind w:left="360"/>
      </w:pPr>
      <w:r>
        <w:rPr>
          <w:b/>
          <w:bCs/>
          <w:color w:val="555555"/>
        </w:rPr>
        <w:t xml:space="preserve">Year: </w:t>
      </w:r>
      <w:r>
        <w:rPr>
          <w:color w:val="1A1A2E"/>
        </w:rPr>
        <w:t>2024</w:t>
      </w:r>
    </w:p>
    <w:p w14:paraId="73143935" w14:textId="77777777" w:rsidR="00F63E20" w:rsidRDefault="00000000">
      <w:pPr>
        <w:spacing w:before="40" w:after="40"/>
        <w:ind w:left="360"/>
      </w:pPr>
      <w:r>
        <w:rPr>
          <w:b/>
          <w:bCs/>
          <w:color w:val="555555"/>
        </w:rPr>
        <w:t xml:space="preserve">Authors: </w:t>
      </w:r>
      <w:r>
        <w:rPr>
          <w:color w:val="1A1A2E"/>
        </w:rPr>
        <w:t>Bennett, G.M., Kwak, Y., Maynard, R.</w:t>
      </w:r>
    </w:p>
    <w:p w14:paraId="69E3A7F4" w14:textId="77777777" w:rsidR="00F63E20" w:rsidRDefault="00000000">
      <w:pPr>
        <w:spacing w:before="40" w:after="80"/>
        <w:ind w:left="360"/>
      </w:pPr>
      <w:r>
        <w:rPr>
          <w:i/>
          <w:iCs/>
          <w:color w:val="1A1A2E"/>
        </w:rPr>
        <w:t xml:space="preserve">A sweeping and clearly written review covering how endosymbiosis — cells </w:t>
      </w:r>
      <w:proofErr w:type="gramStart"/>
      <w:r>
        <w:rPr>
          <w:i/>
          <w:iCs/>
          <w:color w:val="1A1A2E"/>
        </w:rPr>
        <w:t>merging</w:t>
      </w:r>
      <w:proofErr w:type="gramEnd"/>
      <w:r>
        <w:rPr>
          <w:i/>
          <w:iCs/>
          <w:color w:val="1A1A2E"/>
        </w:rPr>
        <w:t xml:space="preserve"> with other cells — has driven the evolution of all complex life. Covers the origin of mitochondria, chloroplasts in plants, and how this process continues even today in insects. An outstanding overview for engaged general readers.</w:t>
      </w:r>
    </w:p>
    <w:p w14:paraId="5DAF25AA" w14:textId="77777777" w:rsidR="00F63E20" w:rsidRDefault="00000000">
      <w:pPr>
        <w:spacing w:before="40" w:after="60"/>
        <w:ind w:left="360"/>
      </w:pPr>
      <w:r>
        <w:rPr>
          <w:b/>
          <w:bCs/>
          <w:color w:val="555555"/>
        </w:rPr>
        <w:t xml:space="preserve">Full Article URL: </w:t>
      </w:r>
      <w:hyperlink r:id="rId11" w:history="1">
        <w:r>
          <w:rPr>
            <w:rFonts w:ascii="Courier New" w:eastAsia="Courier New" w:hAnsi="Courier New" w:cs="Courier New"/>
            <w:color w:val="1F5FA6"/>
            <w:sz w:val="19"/>
            <w:szCs w:val="19"/>
            <w:u w:val="single"/>
          </w:rPr>
          <w:t>https://academic.oup.com/gbe/article/16/6/evae112/7685168</w:t>
        </w:r>
      </w:hyperlink>
    </w:p>
    <w:p w14:paraId="2344C56C" w14:textId="77777777" w:rsidR="00F63E20" w:rsidRDefault="00F63E20">
      <w:pPr>
        <w:pBdr>
          <w:top w:val="single" w:sz="2" w:space="1" w:color="DDDDDD"/>
        </w:pBdr>
        <w:spacing w:before="120" w:after="40"/>
      </w:pPr>
    </w:p>
    <w:p w14:paraId="205691D5" w14:textId="77777777" w:rsidR="00F63E20" w:rsidRDefault="00000000">
      <w:pPr>
        <w:spacing w:before="240" w:after="60"/>
      </w:pPr>
      <w:r>
        <w:rPr>
          <w:b/>
          <w:bCs/>
          <w:color w:val="1F5FA6"/>
          <w:sz w:val="22"/>
          <w:szCs w:val="22"/>
        </w:rPr>
        <w:t xml:space="preserve">8. </w:t>
      </w:r>
      <w:r>
        <w:rPr>
          <w:b/>
          <w:bCs/>
          <w:color w:val="1A1A2E"/>
          <w:sz w:val="22"/>
          <w:szCs w:val="22"/>
        </w:rPr>
        <w:t>From Ancient Philosophy to Endosymbiotic Theory: The Bacterial Origin and Key Role of Mitochondria in Immune Responses</w:t>
      </w:r>
    </w:p>
    <w:p w14:paraId="34256ACD" w14:textId="77777777" w:rsidR="00F63E20" w:rsidRDefault="00000000">
      <w:pPr>
        <w:spacing w:before="40" w:after="40"/>
        <w:ind w:left="360"/>
      </w:pPr>
      <w:r>
        <w:rPr>
          <w:b/>
          <w:bCs/>
          <w:color w:val="555555"/>
        </w:rPr>
        <w:t xml:space="preserve">Journal: </w:t>
      </w:r>
      <w:r>
        <w:rPr>
          <w:color w:val="1A1A2E"/>
        </w:rPr>
        <w:t>PubMed Central / NIH (Frontiers in Immunology)</w:t>
      </w:r>
    </w:p>
    <w:p w14:paraId="1A7F0CD2" w14:textId="77777777" w:rsidR="00F63E20" w:rsidRDefault="00000000">
      <w:pPr>
        <w:spacing w:before="40" w:after="40"/>
        <w:ind w:left="360"/>
      </w:pPr>
      <w:r>
        <w:rPr>
          <w:b/>
          <w:bCs/>
          <w:color w:val="555555"/>
        </w:rPr>
        <w:t xml:space="preserve">Year: </w:t>
      </w:r>
      <w:r>
        <w:rPr>
          <w:color w:val="1A1A2E"/>
        </w:rPr>
        <w:t>2025 (review of current science)</w:t>
      </w:r>
    </w:p>
    <w:p w14:paraId="171B9FAB" w14:textId="77777777" w:rsidR="00F63E20" w:rsidRDefault="00000000">
      <w:pPr>
        <w:spacing w:before="40" w:after="80"/>
        <w:ind w:left="360"/>
      </w:pPr>
      <w:r>
        <w:rPr>
          <w:i/>
          <w:iCs/>
          <w:color w:val="1A1A2E"/>
        </w:rPr>
        <w:t xml:space="preserve">Traces endosymbiotic theory from its ancient philosophical roots to cutting-edge immune science. Explains why mitochondria still behave like bacteria — they have their own circular DNA, </w:t>
      </w:r>
      <w:proofErr w:type="gramStart"/>
      <w:r>
        <w:rPr>
          <w:i/>
          <w:iCs/>
          <w:color w:val="1A1A2E"/>
        </w:rPr>
        <w:t>divide</w:t>
      </w:r>
      <w:proofErr w:type="gramEnd"/>
      <w:r>
        <w:rPr>
          <w:i/>
          <w:iCs/>
          <w:color w:val="1A1A2E"/>
        </w:rPr>
        <w:t xml:space="preserve"> by fission, and can even trigger immune alarms — and what this means for human health. A remarkable bridge between ancient evolution and modern medicine.</w:t>
      </w:r>
    </w:p>
    <w:p w14:paraId="19C9329F" w14:textId="77777777" w:rsidR="00F63E20" w:rsidRDefault="00000000">
      <w:pPr>
        <w:spacing w:before="40" w:after="60"/>
        <w:ind w:left="360"/>
      </w:pPr>
      <w:r>
        <w:rPr>
          <w:b/>
          <w:bCs/>
          <w:color w:val="555555"/>
        </w:rPr>
        <w:t xml:space="preserve">Full Article URL: </w:t>
      </w:r>
      <w:hyperlink r:id="rId12" w:history="1">
        <w:r>
          <w:rPr>
            <w:rFonts w:ascii="Courier New" w:eastAsia="Courier New" w:hAnsi="Courier New" w:cs="Courier New"/>
            <w:color w:val="1F5FA6"/>
            <w:sz w:val="19"/>
            <w:szCs w:val="19"/>
            <w:u w:val="single"/>
          </w:rPr>
          <w:t>https://pmc.ncbi.nlm.nih.gov/articles/PMC12472402/</w:t>
        </w:r>
      </w:hyperlink>
    </w:p>
    <w:p w14:paraId="56A7CCE3" w14:textId="77777777" w:rsidR="00F63E20" w:rsidRDefault="00F63E20">
      <w:pPr>
        <w:pBdr>
          <w:top w:val="single" w:sz="2" w:space="1" w:color="DDDDDD"/>
        </w:pBdr>
        <w:spacing w:before="120" w:after="40"/>
      </w:pPr>
    </w:p>
    <w:p w14:paraId="7E6BF31B" w14:textId="77777777" w:rsidR="00F63E20" w:rsidRDefault="00000000">
      <w:pPr>
        <w:spacing w:before="240" w:after="60"/>
      </w:pPr>
      <w:r>
        <w:rPr>
          <w:b/>
          <w:bCs/>
          <w:color w:val="1F5FA6"/>
          <w:sz w:val="22"/>
          <w:szCs w:val="22"/>
        </w:rPr>
        <w:t xml:space="preserve">9. </w:t>
      </w:r>
      <w:r>
        <w:rPr>
          <w:b/>
          <w:bCs/>
          <w:color w:val="1A1A2E"/>
          <w:sz w:val="22"/>
          <w:szCs w:val="22"/>
        </w:rPr>
        <w:t>Endosymbiotic Selective Pressure at the Origin of Eukaryotic Cell Biology</w:t>
      </w:r>
    </w:p>
    <w:p w14:paraId="0E5A606D" w14:textId="77777777" w:rsidR="00F63E20" w:rsidRDefault="00000000">
      <w:pPr>
        <w:spacing w:before="40" w:after="40"/>
        <w:ind w:left="360"/>
      </w:pPr>
      <w:r>
        <w:rPr>
          <w:b/>
          <w:bCs/>
          <w:color w:val="555555"/>
        </w:rPr>
        <w:t xml:space="preserve">Journal: </w:t>
      </w:r>
      <w:proofErr w:type="spellStart"/>
      <w:r>
        <w:rPr>
          <w:color w:val="1A1A2E"/>
        </w:rPr>
        <w:t>eLife</w:t>
      </w:r>
      <w:proofErr w:type="spellEnd"/>
      <w:r>
        <w:rPr>
          <w:color w:val="1A1A2E"/>
        </w:rPr>
        <w:t xml:space="preserve"> (PubMed Central / NIH)</w:t>
      </w:r>
    </w:p>
    <w:p w14:paraId="3C31F4C3" w14:textId="77777777" w:rsidR="00F63E20" w:rsidRDefault="00000000">
      <w:pPr>
        <w:spacing w:before="40" w:after="40"/>
        <w:ind w:left="360"/>
      </w:pPr>
      <w:r>
        <w:rPr>
          <w:b/>
          <w:bCs/>
          <w:color w:val="555555"/>
        </w:rPr>
        <w:t xml:space="preserve">Year: </w:t>
      </w:r>
      <w:r>
        <w:rPr>
          <w:color w:val="1A1A2E"/>
        </w:rPr>
        <w:t>2022</w:t>
      </w:r>
    </w:p>
    <w:p w14:paraId="6387BB66" w14:textId="77777777" w:rsidR="00F63E20" w:rsidRDefault="00000000">
      <w:pPr>
        <w:spacing w:before="40" w:after="80"/>
        <w:ind w:left="360"/>
      </w:pPr>
      <w:r>
        <w:rPr>
          <w:i/>
          <w:iCs/>
          <w:color w:val="1A1A2E"/>
        </w:rPr>
        <w:t>Examines why acquiring a mitochondrion was the pivotal event that allowed complex life to evolve. Argues that the energy provided by the ancient bacterial endosymbiont was the key that unlocked everything from the nucleus to the development of sex. Well-argued and scientifically rigorous yet conceptually accessible.</w:t>
      </w:r>
    </w:p>
    <w:p w14:paraId="692D1ABC" w14:textId="77777777" w:rsidR="00F63E20" w:rsidRDefault="00000000">
      <w:pPr>
        <w:spacing w:before="40" w:after="60"/>
        <w:ind w:left="360"/>
      </w:pPr>
      <w:r>
        <w:rPr>
          <w:b/>
          <w:bCs/>
          <w:color w:val="555555"/>
        </w:rPr>
        <w:t xml:space="preserve">Full Article URL: </w:t>
      </w:r>
      <w:hyperlink r:id="rId13" w:history="1">
        <w:r>
          <w:rPr>
            <w:rFonts w:ascii="Courier New" w:eastAsia="Courier New" w:hAnsi="Courier New" w:cs="Courier New"/>
            <w:color w:val="1F5FA6"/>
            <w:sz w:val="19"/>
            <w:szCs w:val="19"/>
            <w:u w:val="single"/>
          </w:rPr>
          <w:t>https://pmc.ncbi.nlm.nih.gov/articles/PMC9648965/</w:t>
        </w:r>
      </w:hyperlink>
    </w:p>
    <w:p w14:paraId="0267809B" w14:textId="77777777" w:rsidR="00F63E20" w:rsidRDefault="00F63E20">
      <w:pPr>
        <w:spacing w:before="80" w:after="80"/>
      </w:pPr>
    </w:p>
    <w:p w14:paraId="57BD79C6" w14:textId="77777777" w:rsidR="00F63E20" w:rsidRDefault="00000000">
      <w:pPr>
        <w:pStyle w:val="Heading1"/>
        <w:pBdr>
          <w:bottom w:val="single" w:sz="4" w:space="4" w:color="2E7D32"/>
        </w:pBdr>
      </w:pPr>
      <w:r>
        <w:t>SECTION 4: The Gut Microbiome — Food, Bacteria &amp; Mitochondria Working Together</w:t>
      </w:r>
    </w:p>
    <w:p w14:paraId="1AF57501" w14:textId="77777777" w:rsidR="00F63E20" w:rsidRDefault="00000000">
      <w:pPr>
        <w:spacing w:before="60" w:after="60"/>
      </w:pPr>
      <w:r>
        <w:rPr>
          <w:color w:val="1A1A2E"/>
        </w:rPr>
        <w:t>Your gut contains trillions of bacteria that are not just passengers — they digest food your body cannot, produce signaling molecules, and communicate directly with your mitochondria to influence your energy levels, immune responses, and even your mood.</w:t>
      </w:r>
    </w:p>
    <w:p w14:paraId="55966A33" w14:textId="77777777" w:rsidR="00F63E20" w:rsidRDefault="00F63E20">
      <w:pPr>
        <w:spacing w:before="80" w:after="80"/>
      </w:pPr>
    </w:p>
    <w:p w14:paraId="06750145" w14:textId="77777777" w:rsidR="00F63E20" w:rsidRDefault="00000000">
      <w:pPr>
        <w:pStyle w:val="Heading2"/>
      </w:pPr>
      <w:r>
        <w:t>Featured Articles</w:t>
      </w:r>
    </w:p>
    <w:p w14:paraId="51BE6645" w14:textId="77777777" w:rsidR="00F63E20" w:rsidRDefault="00000000">
      <w:pPr>
        <w:spacing w:before="240" w:after="60"/>
      </w:pPr>
      <w:r>
        <w:rPr>
          <w:b/>
          <w:bCs/>
          <w:color w:val="1F5FA6"/>
          <w:sz w:val="22"/>
          <w:szCs w:val="22"/>
        </w:rPr>
        <w:lastRenderedPageBreak/>
        <w:t xml:space="preserve">10. </w:t>
      </w:r>
      <w:r>
        <w:rPr>
          <w:b/>
          <w:bCs/>
          <w:color w:val="1A1A2E"/>
          <w:sz w:val="22"/>
          <w:szCs w:val="22"/>
        </w:rPr>
        <w:t>Host-Diet-Gut Microbiome Interactions Influence Human Energy Balance</w:t>
      </w:r>
    </w:p>
    <w:p w14:paraId="1066335F" w14:textId="77777777" w:rsidR="00F63E20" w:rsidRDefault="00000000">
      <w:pPr>
        <w:spacing w:before="40" w:after="40"/>
        <w:ind w:left="360"/>
      </w:pPr>
      <w:r>
        <w:rPr>
          <w:b/>
          <w:bCs/>
          <w:color w:val="555555"/>
        </w:rPr>
        <w:t xml:space="preserve">Journal: </w:t>
      </w:r>
      <w:r>
        <w:rPr>
          <w:color w:val="1A1A2E"/>
        </w:rPr>
        <w:t>Nature Communications</w:t>
      </w:r>
    </w:p>
    <w:p w14:paraId="3BCD6FDF" w14:textId="77777777" w:rsidR="00F63E20" w:rsidRDefault="00000000">
      <w:pPr>
        <w:spacing w:before="40" w:after="40"/>
        <w:ind w:left="360"/>
      </w:pPr>
      <w:r>
        <w:rPr>
          <w:b/>
          <w:bCs/>
          <w:color w:val="555555"/>
        </w:rPr>
        <w:t xml:space="preserve">Year: </w:t>
      </w:r>
      <w:r>
        <w:rPr>
          <w:color w:val="1A1A2E"/>
        </w:rPr>
        <w:t>2023</w:t>
      </w:r>
    </w:p>
    <w:p w14:paraId="534985DE" w14:textId="77777777" w:rsidR="00F63E20" w:rsidRDefault="00000000">
      <w:pPr>
        <w:spacing w:before="40" w:after="80"/>
        <w:ind w:left="360"/>
      </w:pPr>
      <w:r>
        <w:rPr>
          <w:i/>
          <w:iCs/>
          <w:color w:val="1A1A2E"/>
        </w:rPr>
        <w:t xml:space="preserve">A rigorous controlled clinical trial showing that the gut microbiome is a major modulator of how many calories your body </w:t>
      </w:r>
      <w:proofErr w:type="gramStart"/>
      <w:r>
        <w:rPr>
          <w:i/>
          <w:iCs/>
          <w:color w:val="1A1A2E"/>
        </w:rPr>
        <w:t>actually absorbs</w:t>
      </w:r>
      <w:proofErr w:type="gramEnd"/>
      <w:r>
        <w:rPr>
          <w:i/>
          <w:iCs/>
          <w:color w:val="1A1A2E"/>
        </w:rPr>
        <w:t xml:space="preserve"> from food. Participants eating a diet designed to feed gut microbes lost significantly more energy in </w:t>
      </w:r>
      <w:proofErr w:type="gramStart"/>
      <w:r>
        <w:rPr>
          <w:i/>
          <w:iCs/>
          <w:color w:val="1A1A2E"/>
        </w:rPr>
        <w:t>stool</w:t>
      </w:r>
      <w:proofErr w:type="gramEnd"/>
      <w:r>
        <w:rPr>
          <w:i/>
          <w:iCs/>
          <w:color w:val="1A1A2E"/>
        </w:rPr>
        <w:t xml:space="preserve"> and showed robust changes in gut bacteria. One of the clearest demonstrations of the food–microbiome–energy connection in humans.</w:t>
      </w:r>
    </w:p>
    <w:p w14:paraId="46A176E8" w14:textId="77777777" w:rsidR="00F63E20" w:rsidRDefault="00000000">
      <w:pPr>
        <w:spacing w:before="40" w:after="60"/>
        <w:ind w:left="360"/>
      </w:pPr>
      <w:r>
        <w:rPr>
          <w:b/>
          <w:bCs/>
          <w:color w:val="555555"/>
        </w:rPr>
        <w:t xml:space="preserve">Full Article URL: </w:t>
      </w:r>
      <w:hyperlink r:id="rId14" w:history="1">
        <w:r>
          <w:rPr>
            <w:rFonts w:ascii="Courier New" w:eastAsia="Courier New" w:hAnsi="Courier New" w:cs="Courier New"/>
            <w:color w:val="1F5FA6"/>
            <w:sz w:val="19"/>
            <w:szCs w:val="19"/>
            <w:u w:val="single"/>
          </w:rPr>
          <w:t>https://www.nature.com/articles/s41467-023-38778-x</w:t>
        </w:r>
      </w:hyperlink>
    </w:p>
    <w:p w14:paraId="3B5B7348" w14:textId="77777777" w:rsidR="00F63E20" w:rsidRDefault="00F63E20">
      <w:pPr>
        <w:pBdr>
          <w:top w:val="single" w:sz="2" w:space="1" w:color="DDDDDD"/>
        </w:pBdr>
        <w:spacing w:before="120" w:after="40"/>
      </w:pPr>
    </w:p>
    <w:p w14:paraId="3E625232" w14:textId="77777777" w:rsidR="00F63E20" w:rsidRDefault="00000000">
      <w:pPr>
        <w:spacing w:before="240" w:after="60"/>
      </w:pPr>
      <w:r>
        <w:rPr>
          <w:b/>
          <w:bCs/>
          <w:color w:val="1F5FA6"/>
          <w:sz w:val="22"/>
          <w:szCs w:val="22"/>
        </w:rPr>
        <w:t xml:space="preserve">11. </w:t>
      </w:r>
      <w:r>
        <w:rPr>
          <w:b/>
          <w:bCs/>
          <w:color w:val="1A1A2E"/>
          <w:sz w:val="22"/>
          <w:szCs w:val="22"/>
        </w:rPr>
        <w:t>Gut Microbiota in Human Metabolic Health and Disease</w:t>
      </w:r>
    </w:p>
    <w:p w14:paraId="5CF8151D" w14:textId="77777777" w:rsidR="00F63E20" w:rsidRDefault="00000000">
      <w:pPr>
        <w:spacing w:before="40" w:after="40"/>
        <w:ind w:left="360"/>
      </w:pPr>
      <w:r>
        <w:rPr>
          <w:b/>
          <w:bCs/>
          <w:color w:val="555555"/>
        </w:rPr>
        <w:t xml:space="preserve">Journal: </w:t>
      </w:r>
      <w:r>
        <w:rPr>
          <w:color w:val="1A1A2E"/>
        </w:rPr>
        <w:t>Nature Reviews Microbiology</w:t>
      </w:r>
    </w:p>
    <w:p w14:paraId="344EE848" w14:textId="77777777" w:rsidR="00F63E20" w:rsidRDefault="00000000">
      <w:pPr>
        <w:spacing w:before="40" w:after="40"/>
        <w:ind w:left="360"/>
      </w:pPr>
      <w:r>
        <w:rPr>
          <w:b/>
          <w:bCs/>
          <w:color w:val="555555"/>
        </w:rPr>
        <w:t xml:space="preserve">Year: </w:t>
      </w:r>
      <w:r>
        <w:rPr>
          <w:color w:val="1A1A2E"/>
        </w:rPr>
        <w:t>2021</w:t>
      </w:r>
    </w:p>
    <w:p w14:paraId="5231D777" w14:textId="77777777" w:rsidR="00F63E20" w:rsidRDefault="00000000">
      <w:pPr>
        <w:spacing w:before="40" w:after="40"/>
        <w:ind w:left="360"/>
      </w:pPr>
      <w:r>
        <w:rPr>
          <w:b/>
          <w:bCs/>
          <w:color w:val="555555"/>
        </w:rPr>
        <w:t xml:space="preserve">Authors: </w:t>
      </w:r>
      <w:r>
        <w:rPr>
          <w:color w:val="1A1A2E"/>
        </w:rPr>
        <w:t>Fan, Y. &amp; Pedersen, O.</w:t>
      </w:r>
    </w:p>
    <w:p w14:paraId="5D23CABE" w14:textId="77777777" w:rsidR="00F63E20" w:rsidRDefault="00000000">
      <w:pPr>
        <w:spacing w:before="40" w:after="80"/>
        <w:ind w:left="360"/>
      </w:pPr>
      <w:r>
        <w:rPr>
          <w:i/>
          <w:iCs/>
          <w:color w:val="1A1A2E"/>
        </w:rPr>
        <w:t>A comprehensive review from one of Nature's most prestigious journals explaining how gut bacteria produce molecules (especially short-chain fatty acids) that feed mitochondria in your colon, liver, brain, and muscle. Explains the pathways by which diet shapes the microbiome and how this connects to obesity, diabetes, and cardiovascular disease. A landmark reference.</w:t>
      </w:r>
    </w:p>
    <w:p w14:paraId="4125C50C" w14:textId="77777777" w:rsidR="00F63E20" w:rsidRDefault="00000000">
      <w:pPr>
        <w:spacing w:before="40" w:after="60"/>
        <w:ind w:left="360"/>
      </w:pPr>
      <w:r>
        <w:rPr>
          <w:b/>
          <w:bCs/>
          <w:color w:val="555555"/>
        </w:rPr>
        <w:t xml:space="preserve">Full Article URL: </w:t>
      </w:r>
      <w:hyperlink r:id="rId15" w:history="1">
        <w:r>
          <w:rPr>
            <w:rFonts w:ascii="Courier New" w:eastAsia="Courier New" w:hAnsi="Courier New" w:cs="Courier New"/>
            <w:color w:val="1F5FA6"/>
            <w:sz w:val="19"/>
            <w:szCs w:val="19"/>
            <w:u w:val="single"/>
          </w:rPr>
          <w:t>https://www.nature.com/articles/s41579-020-0433-9</w:t>
        </w:r>
      </w:hyperlink>
    </w:p>
    <w:p w14:paraId="61053805" w14:textId="77777777" w:rsidR="00F63E20" w:rsidRDefault="00F63E20">
      <w:pPr>
        <w:pBdr>
          <w:top w:val="single" w:sz="2" w:space="1" w:color="DDDDDD"/>
        </w:pBdr>
        <w:spacing w:before="120" w:after="40"/>
      </w:pPr>
    </w:p>
    <w:p w14:paraId="20430FC7" w14:textId="77777777" w:rsidR="00F63E20" w:rsidRDefault="00000000">
      <w:pPr>
        <w:spacing w:before="240" w:after="60"/>
      </w:pPr>
      <w:r>
        <w:rPr>
          <w:b/>
          <w:bCs/>
          <w:color w:val="1F5FA6"/>
          <w:sz w:val="22"/>
          <w:szCs w:val="22"/>
        </w:rPr>
        <w:t xml:space="preserve">12. </w:t>
      </w:r>
      <w:r>
        <w:rPr>
          <w:b/>
          <w:bCs/>
          <w:color w:val="1A1A2E"/>
          <w:sz w:val="22"/>
          <w:szCs w:val="22"/>
        </w:rPr>
        <w:t>Digesting the Complex Metabolic Effects of Diet on the Host and Microbiome</w:t>
      </w:r>
    </w:p>
    <w:p w14:paraId="47C117B7" w14:textId="77777777" w:rsidR="00F63E20" w:rsidRDefault="00000000">
      <w:pPr>
        <w:spacing w:before="40" w:after="40"/>
        <w:ind w:left="360"/>
      </w:pPr>
      <w:r>
        <w:rPr>
          <w:b/>
          <w:bCs/>
          <w:color w:val="555555"/>
        </w:rPr>
        <w:t xml:space="preserve">Journal: </w:t>
      </w:r>
      <w:r>
        <w:rPr>
          <w:color w:val="1A1A2E"/>
        </w:rPr>
        <w:t>Cell</w:t>
      </w:r>
    </w:p>
    <w:p w14:paraId="55B799D3" w14:textId="77777777" w:rsidR="00F63E20" w:rsidRDefault="00000000">
      <w:pPr>
        <w:spacing w:before="40" w:after="40"/>
        <w:ind w:left="360"/>
      </w:pPr>
      <w:r>
        <w:rPr>
          <w:b/>
          <w:bCs/>
          <w:color w:val="555555"/>
        </w:rPr>
        <w:t xml:space="preserve">Year: </w:t>
      </w:r>
      <w:r>
        <w:rPr>
          <w:color w:val="1A1A2E"/>
        </w:rPr>
        <w:t>2024</w:t>
      </w:r>
    </w:p>
    <w:p w14:paraId="7F952564" w14:textId="77777777" w:rsidR="00F63E20" w:rsidRDefault="00000000">
      <w:pPr>
        <w:spacing w:before="40" w:after="80"/>
        <w:ind w:left="360"/>
      </w:pPr>
      <w:r>
        <w:rPr>
          <w:i/>
          <w:iCs/>
          <w:color w:val="1A1A2E"/>
        </w:rPr>
        <w:t>Published in Cell, one of the world's most prestigious science journals, this review explains in rich detail how dietary fats, fibers, and proteins interact with gut microbes to affect mitochondrial function and energy balance. Includes breakthrough findings on how gut bacteria produce butyrate — a fat that directly fuels mitochondrial respiration in muscle and gut cells.</w:t>
      </w:r>
    </w:p>
    <w:p w14:paraId="17C86331" w14:textId="77777777" w:rsidR="00F63E20" w:rsidRDefault="00000000">
      <w:pPr>
        <w:spacing w:before="40" w:after="60"/>
        <w:ind w:left="360"/>
      </w:pPr>
      <w:r>
        <w:rPr>
          <w:b/>
          <w:bCs/>
          <w:color w:val="555555"/>
        </w:rPr>
        <w:t xml:space="preserve">Full Article URL: </w:t>
      </w:r>
      <w:hyperlink r:id="rId16" w:history="1">
        <w:r>
          <w:rPr>
            <w:rFonts w:ascii="Courier New" w:eastAsia="Courier New" w:hAnsi="Courier New" w:cs="Courier New"/>
            <w:color w:val="1F5FA6"/>
            <w:sz w:val="19"/>
            <w:szCs w:val="19"/>
            <w:u w:val="single"/>
          </w:rPr>
          <w:t>https://www.cell.com/cell/fulltext/S0092-8674(24)00706-2</w:t>
        </w:r>
      </w:hyperlink>
    </w:p>
    <w:p w14:paraId="7D921DFF" w14:textId="77777777" w:rsidR="00F63E20" w:rsidRDefault="00F63E20">
      <w:pPr>
        <w:pBdr>
          <w:top w:val="single" w:sz="2" w:space="1" w:color="DDDDDD"/>
        </w:pBdr>
        <w:spacing w:before="120" w:after="40"/>
      </w:pPr>
    </w:p>
    <w:p w14:paraId="6995BF9D" w14:textId="77777777" w:rsidR="00F63E20" w:rsidRDefault="00000000">
      <w:pPr>
        <w:spacing w:before="240" w:after="60"/>
      </w:pPr>
      <w:r>
        <w:rPr>
          <w:b/>
          <w:bCs/>
          <w:color w:val="1F5FA6"/>
          <w:sz w:val="22"/>
          <w:szCs w:val="22"/>
        </w:rPr>
        <w:t xml:space="preserve">13. </w:t>
      </w:r>
      <w:r>
        <w:rPr>
          <w:b/>
          <w:bCs/>
          <w:color w:val="1A1A2E"/>
          <w:sz w:val="22"/>
          <w:szCs w:val="22"/>
        </w:rPr>
        <w:t>Mitochondrial Function and Gastrointestinal Diseases</w:t>
      </w:r>
    </w:p>
    <w:p w14:paraId="30E4CD2B" w14:textId="77777777" w:rsidR="00F63E20" w:rsidRDefault="00000000">
      <w:pPr>
        <w:spacing w:before="40" w:after="40"/>
        <w:ind w:left="360"/>
      </w:pPr>
      <w:r>
        <w:rPr>
          <w:b/>
          <w:bCs/>
          <w:color w:val="555555"/>
        </w:rPr>
        <w:t xml:space="preserve">Journal: </w:t>
      </w:r>
      <w:r>
        <w:rPr>
          <w:color w:val="1A1A2E"/>
        </w:rPr>
        <w:t>Nature Reviews Gastroenterology &amp; Hepatology</w:t>
      </w:r>
    </w:p>
    <w:p w14:paraId="549FAA02" w14:textId="77777777" w:rsidR="00F63E20" w:rsidRDefault="00000000">
      <w:pPr>
        <w:spacing w:before="40" w:after="40"/>
        <w:ind w:left="360"/>
      </w:pPr>
      <w:r>
        <w:rPr>
          <w:b/>
          <w:bCs/>
          <w:color w:val="555555"/>
        </w:rPr>
        <w:t xml:space="preserve">Year: </w:t>
      </w:r>
      <w:r>
        <w:rPr>
          <w:color w:val="1A1A2E"/>
        </w:rPr>
        <w:t>2024</w:t>
      </w:r>
    </w:p>
    <w:p w14:paraId="0C4A0232" w14:textId="77777777" w:rsidR="00F63E20" w:rsidRDefault="00000000">
      <w:pPr>
        <w:spacing w:before="40" w:after="40"/>
        <w:ind w:left="360"/>
      </w:pPr>
      <w:r>
        <w:rPr>
          <w:b/>
          <w:bCs/>
          <w:color w:val="555555"/>
        </w:rPr>
        <w:t xml:space="preserve">Authors: </w:t>
      </w:r>
      <w:r>
        <w:rPr>
          <w:color w:val="1A1A2E"/>
        </w:rPr>
        <w:t>Haque, P.S., Kapur, N., &amp; Theiss, A.L.</w:t>
      </w:r>
    </w:p>
    <w:p w14:paraId="0E42E81F" w14:textId="77777777" w:rsidR="00F63E20" w:rsidRDefault="00000000">
      <w:pPr>
        <w:spacing w:before="40" w:after="80"/>
        <w:ind w:left="360"/>
      </w:pPr>
      <w:r>
        <w:rPr>
          <w:i/>
          <w:iCs/>
          <w:color w:val="1A1A2E"/>
        </w:rPr>
        <w:t xml:space="preserve">A thorough review from Nature's gastroenterology journal </w:t>
      </w:r>
      <w:proofErr w:type="gramStart"/>
      <w:r>
        <w:rPr>
          <w:i/>
          <w:iCs/>
          <w:color w:val="1A1A2E"/>
        </w:rPr>
        <w:t>focusing</w:t>
      </w:r>
      <w:proofErr w:type="gramEnd"/>
      <w:r>
        <w:rPr>
          <w:i/>
          <w:iCs/>
          <w:color w:val="1A1A2E"/>
        </w:rPr>
        <w:t xml:space="preserve"> specifically on the connection between mitochondria in the gut lining and gut health. Explains how the microbiome and mitochondria of intestinal cells cooperate — and what happens when that cooperation breaks down in inflammatory bowel disease and colorectal cancer. Essential reading on the gut–mitochondria axis.</w:t>
      </w:r>
    </w:p>
    <w:p w14:paraId="37CFAA54" w14:textId="77777777" w:rsidR="00F63E20" w:rsidRDefault="00000000">
      <w:pPr>
        <w:spacing w:before="40" w:after="60"/>
        <w:ind w:left="360"/>
      </w:pPr>
      <w:r>
        <w:rPr>
          <w:b/>
          <w:bCs/>
          <w:color w:val="555555"/>
        </w:rPr>
        <w:t xml:space="preserve">Full Article URL: </w:t>
      </w:r>
      <w:hyperlink r:id="rId17" w:history="1">
        <w:r>
          <w:rPr>
            <w:rFonts w:ascii="Courier New" w:eastAsia="Courier New" w:hAnsi="Courier New" w:cs="Courier New"/>
            <w:color w:val="1F5FA6"/>
            <w:sz w:val="19"/>
            <w:szCs w:val="19"/>
            <w:u w:val="single"/>
          </w:rPr>
          <w:t>https://www.nature.com/articles/s41575-024-00931-2</w:t>
        </w:r>
      </w:hyperlink>
    </w:p>
    <w:p w14:paraId="34C633C7" w14:textId="77777777" w:rsidR="00F63E20" w:rsidRDefault="00F63E20">
      <w:pPr>
        <w:pBdr>
          <w:top w:val="single" w:sz="2" w:space="1" w:color="DDDDDD"/>
        </w:pBdr>
        <w:spacing w:before="120" w:after="40"/>
      </w:pPr>
    </w:p>
    <w:p w14:paraId="32BD3C46" w14:textId="77777777" w:rsidR="00F63E20" w:rsidRDefault="00000000">
      <w:pPr>
        <w:spacing w:before="240" w:after="60"/>
      </w:pPr>
      <w:r>
        <w:rPr>
          <w:b/>
          <w:bCs/>
          <w:color w:val="1F5FA6"/>
          <w:sz w:val="22"/>
          <w:szCs w:val="22"/>
        </w:rPr>
        <w:t xml:space="preserve">14. </w:t>
      </w:r>
      <w:r>
        <w:rPr>
          <w:b/>
          <w:bCs/>
          <w:color w:val="1A1A2E"/>
          <w:sz w:val="22"/>
          <w:szCs w:val="22"/>
        </w:rPr>
        <w:t>The Interplay Between Mitochondria, the Gut Microbiome and Metabolites</w:t>
      </w:r>
    </w:p>
    <w:p w14:paraId="20BE213F" w14:textId="77777777" w:rsidR="00F63E20" w:rsidRDefault="00000000">
      <w:pPr>
        <w:spacing w:before="40" w:after="40"/>
        <w:ind w:left="360"/>
      </w:pPr>
      <w:r>
        <w:rPr>
          <w:b/>
          <w:bCs/>
          <w:color w:val="555555"/>
        </w:rPr>
        <w:t xml:space="preserve">Journal: </w:t>
      </w:r>
      <w:r>
        <w:rPr>
          <w:color w:val="1A1A2E"/>
        </w:rPr>
        <w:t>Frontiers in Pharmacology (PubMed Central / NIH)</w:t>
      </w:r>
    </w:p>
    <w:p w14:paraId="390E433B" w14:textId="77777777" w:rsidR="00F63E20" w:rsidRDefault="00000000">
      <w:pPr>
        <w:spacing w:before="40" w:after="40"/>
        <w:ind w:left="360"/>
      </w:pPr>
      <w:r>
        <w:rPr>
          <w:b/>
          <w:bCs/>
          <w:color w:val="555555"/>
        </w:rPr>
        <w:t xml:space="preserve">Year: </w:t>
      </w:r>
      <w:r>
        <w:rPr>
          <w:color w:val="1A1A2E"/>
        </w:rPr>
        <w:t>2024</w:t>
      </w:r>
    </w:p>
    <w:p w14:paraId="73360400" w14:textId="77777777" w:rsidR="00F63E20" w:rsidRDefault="00000000">
      <w:pPr>
        <w:spacing w:before="40" w:after="80"/>
        <w:ind w:left="360"/>
      </w:pPr>
      <w:proofErr w:type="gramStart"/>
      <w:r>
        <w:rPr>
          <w:i/>
          <w:iCs/>
          <w:color w:val="1A1A2E"/>
        </w:rPr>
        <w:t>Examines</w:t>
      </w:r>
      <w:proofErr w:type="gramEnd"/>
      <w:r>
        <w:rPr>
          <w:i/>
          <w:iCs/>
          <w:color w:val="1A1A2E"/>
        </w:rPr>
        <w:t xml:space="preserve"> the bidirectional conversation between gut bacteria and mitochondria — how bacterial metabolites shape mitochondrial function and vice versa. Covers the therapeutic potential of targeting </w:t>
      </w:r>
      <w:r>
        <w:rPr>
          <w:i/>
          <w:iCs/>
          <w:color w:val="1A1A2E"/>
        </w:rPr>
        <w:lastRenderedPageBreak/>
        <w:t>this axis in mitochondrial diseases. An excellent synthesis of the emerging gut–mitochondria field written for a broad scientific audience.</w:t>
      </w:r>
    </w:p>
    <w:p w14:paraId="7A445E78" w14:textId="77777777" w:rsidR="00F63E20" w:rsidRDefault="00000000">
      <w:pPr>
        <w:spacing w:before="40" w:after="60"/>
        <w:ind w:left="360"/>
      </w:pPr>
      <w:r>
        <w:rPr>
          <w:b/>
          <w:bCs/>
          <w:color w:val="555555"/>
        </w:rPr>
        <w:t xml:space="preserve">Full Article URL: </w:t>
      </w:r>
      <w:hyperlink r:id="rId18" w:history="1">
        <w:r>
          <w:rPr>
            <w:rFonts w:ascii="Courier New" w:eastAsia="Courier New" w:hAnsi="Courier New" w:cs="Courier New"/>
            <w:color w:val="1F5FA6"/>
            <w:sz w:val="19"/>
            <w:szCs w:val="19"/>
            <w:u w:val="single"/>
          </w:rPr>
          <w:t>https://pmc.ncbi.nlm.nih.gov/articles/PMC11306032/</w:t>
        </w:r>
      </w:hyperlink>
    </w:p>
    <w:p w14:paraId="2BE92625" w14:textId="77777777" w:rsidR="00F63E20" w:rsidRDefault="00F63E20">
      <w:pPr>
        <w:spacing w:before="80" w:after="80"/>
      </w:pPr>
    </w:p>
    <w:p w14:paraId="2A69195B" w14:textId="77777777" w:rsidR="00F63E20" w:rsidRDefault="00F63E20">
      <w:pPr>
        <w:pBdr>
          <w:top w:val="single" w:sz="2" w:space="1" w:color="DDDDDD"/>
        </w:pBdr>
        <w:spacing w:before="120" w:after="40"/>
      </w:pPr>
    </w:p>
    <w:p w14:paraId="1CFE8F94" w14:textId="77777777" w:rsidR="00F63E20" w:rsidRDefault="00000000">
      <w:pPr>
        <w:spacing w:before="240" w:after="60"/>
        <w:jc w:val="center"/>
      </w:pPr>
      <w:r>
        <w:rPr>
          <w:b/>
          <w:bCs/>
          <w:color w:val="1F5FA6"/>
          <w:sz w:val="22"/>
          <w:szCs w:val="22"/>
        </w:rPr>
        <w:t>A Note on Access</w:t>
      </w:r>
    </w:p>
    <w:p w14:paraId="6CD6DA3C" w14:textId="77777777" w:rsidR="00F63E20" w:rsidRDefault="00000000">
      <w:pPr>
        <w:spacing w:after="60"/>
        <w:jc w:val="center"/>
      </w:pPr>
      <w:r>
        <w:rPr>
          <w:i/>
          <w:iCs/>
          <w:color w:val="555555"/>
          <w:sz w:val="18"/>
          <w:szCs w:val="18"/>
        </w:rPr>
        <w:t>Articles from PubMed Central (pmc.ncbi.nlm.nih.gov) and PLOS Biology are free to read. Nature and Cell articles may require a subscription — your local library may provide free access, or you may request articles through interlibrary loan.</w:t>
      </w:r>
    </w:p>
    <w:p w14:paraId="097F15DA" w14:textId="77777777" w:rsidR="00F63E20" w:rsidRDefault="00000000">
      <w:pPr>
        <w:spacing w:before="60" w:after="240"/>
        <w:jc w:val="center"/>
      </w:pPr>
      <w:r>
        <w:rPr>
          <w:color w:val="555555"/>
          <w:sz w:val="17"/>
          <w:szCs w:val="17"/>
        </w:rPr>
        <w:t xml:space="preserve">Compiled April </w:t>
      </w:r>
      <w:proofErr w:type="gramStart"/>
      <w:r>
        <w:rPr>
          <w:color w:val="555555"/>
          <w:sz w:val="17"/>
          <w:szCs w:val="17"/>
        </w:rPr>
        <w:t>2026  •</w:t>
      </w:r>
      <w:proofErr w:type="gramEnd"/>
      <w:r>
        <w:rPr>
          <w:color w:val="555555"/>
          <w:sz w:val="17"/>
          <w:szCs w:val="17"/>
        </w:rPr>
        <w:t xml:space="preserve">  All links verified at time of publication</w:t>
      </w:r>
    </w:p>
    <w:sectPr w:rsidR="00F63E20">
      <w:pgSz w:w="12240" w:h="15840"/>
      <w:pgMar w:top="1440" w:right="1296" w:bottom="1440" w:left="1296"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273669"/>
    <w:multiLevelType w:val="hybridMultilevel"/>
    <w:tmpl w:val="1E88C242"/>
    <w:lvl w:ilvl="0" w:tplc="08F4DCC2">
      <w:start w:val="1"/>
      <w:numFmt w:val="bullet"/>
      <w:lvlText w:val="●"/>
      <w:lvlJc w:val="left"/>
      <w:pPr>
        <w:ind w:left="720" w:hanging="360"/>
      </w:pPr>
    </w:lvl>
    <w:lvl w:ilvl="1" w:tplc="8FB201EE">
      <w:start w:val="1"/>
      <w:numFmt w:val="bullet"/>
      <w:lvlText w:val="○"/>
      <w:lvlJc w:val="left"/>
      <w:pPr>
        <w:ind w:left="1440" w:hanging="360"/>
      </w:pPr>
    </w:lvl>
    <w:lvl w:ilvl="2" w:tplc="6A887D36">
      <w:start w:val="1"/>
      <w:numFmt w:val="bullet"/>
      <w:lvlText w:val="■"/>
      <w:lvlJc w:val="left"/>
      <w:pPr>
        <w:ind w:left="2160" w:hanging="360"/>
      </w:pPr>
    </w:lvl>
    <w:lvl w:ilvl="3" w:tplc="FCFAA63E">
      <w:start w:val="1"/>
      <w:numFmt w:val="bullet"/>
      <w:lvlText w:val="●"/>
      <w:lvlJc w:val="left"/>
      <w:pPr>
        <w:ind w:left="2880" w:hanging="360"/>
      </w:pPr>
    </w:lvl>
    <w:lvl w:ilvl="4" w:tplc="057CBAEE">
      <w:start w:val="1"/>
      <w:numFmt w:val="bullet"/>
      <w:lvlText w:val="○"/>
      <w:lvlJc w:val="left"/>
      <w:pPr>
        <w:ind w:left="3600" w:hanging="360"/>
      </w:pPr>
    </w:lvl>
    <w:lvl w:ilvl="5" w:tplc="BDD646FE">
      <w:start w:val="1"/>
      <w:numFmt w:val="bullet"/>
      <w:lvlText w:val="■"/>
      <w:lvlJc w:val="left"/>
      <w:pPr>
        <w:ind w:left="4320" w:hanging="360"/>
      </w:pPr>
    </w:lvl>
    <w:lvl w:ilvl="6" w:tplc="DE8E791E">
      <w:start w:val="1"/>
      <w:numFmt w:val="bullet"/>
      <w:lvlText w:val="●"/>
      <w:lvlJc w:val="left"/>
      <w:pPr>
        <w:ind w:left="5040" w:hanging="360"/>
      </w:pPr>
    </w:lvl>
    <w:lvl w:ilvl="7" w:tplc="DD301FFE">
      <w:start w:val="1"/>
      <w:numFmt w:val="bullet"/>
      <w:lvlText w:val="●"/>
      <w:lvlJc w:val="left"/>
      <w:pPr>
        <w:ind w:left="5760" w:hanging="360"/>
      </w:pPr>
    </w:lvl>
    <w:lvl w:ilvl="8" w:tplc="BA08621E">
      <w:start w:val="1"/>
      <w:numFmt w:val="bullet"/>
      <w:lvlText w:val="●"/>
      <w:lvlJc w:val="left"/>
      <w:pPr>
        <w:ind w:left="6480" w:hanging="360"/>
      </w:pPr>
    </w:lvl>
  </w:abstractNum>
  <w:num w:numId="1" w16cid:durableId="198982517">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3E20"/>
    <w:rsid w:val="00087FC5"/>
    <w:rsid w:val="005C6088"/>
    <w:rsid w:val="00BB3612"/>
    <w:rsid w:val="00F63E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D34312"/>
  <w15:docId w15:val="{53D07D47-9BDB-48EF-99E6-95C79B23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20"/>
      <w:outlineLvl w:val="0"/>
    </w:pPr>
    <w:rPr>
      <w:b/>
      <w:bCs/>
      <w:color w:val="1F5FA6"/>
      <w:sz w:val="28"/>
      <w:szCs w:val="28"/>
    </w:rPr>
  </w:style>
  <w:style w:type="paragraph" w:styleId="Heading2">
    <w:name w:val="heading 2"/>
    <w:uiPriority w:val="9"/>
    <w:unhideWhenUsed/>
    <w:qFormat/>
    <w:pPr>
      <w:spacing w:before="240" w:after="80"/>
      <w:outlineLvl w:val="1"/>
    </w:pPr>
    <w:rPr>
      <w:b/>
      <w:bCs/>
      <w:color w:val="2E7D32"/>
      <w:sz w:val="24"/>
      <w:szCs w:val="24"/>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pmc.ncbi.nlm.nih.gov/articles/PMC9148104/" TargetMode="External"/><Relationship Id="rId13" Type="http://schemas.openxmlformats.org/officeDocument/2006/relationships/hyperlink" Target="https://pmc.ncbi.nlm.nih.gov/articles/PMC9648965/" TargetMode="External"/><Relationship Id="rId18" Type="http://schemas.openxmlformats.org/officeDocument/2006/relationships/hyperlink" Target="https://pmc.ncbi.nlm.nih.gov/articles/PMC11306032/" TargetMode="External"/><Relationship Id="rId3" Type="http://schemas.openxmlformats.org/officeDocument/2006/relationships/settings" Target="settings.xml"/><Relationship Id="rId7" Type="http://schemas.openxmlformats.org/officeDocument/2006/relationships/hyperlink" Target="https://pmc.ncbi.nlm.nih.gov/articles/PMC6095482/" TargetMode="External"/><Relationship Id="rId12" Type="http://schemas.openxmlformats.org/officeDocument/2006/relationships/hyperlink" Target="https://pmc.ncbi.nlm.nih.gov/articles/PMC12472402/" TargetMode="External"/><Relationship Id="rId17" Type="http://schemas.openxmlformats.org/officeDocument/2006/relationships/hyperlink" Target="https://www.nature.com/articles/s41575-024-00931-2" TargetMode="External"/><Relationship Id="rId2" Type="http://schemas.openxmlformats.org/officeDocument/2006/relationships/styles" Target="styles.xml"/><Relationship Id="rId16" Type="http://schemas.openxmlformats.org/officeDocument/2006/relationships/hyperlink" Target="https://www.cell.com/cell/fulltext/S0092-8674(24)00706-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pmc.ncbi.nlm.nih.gov/articles/PMC11458664/" TargetMode="External"/><Relationship Id="rId11" Type="http://schemas.openxmlformats.org/officeDocument/2006/relationships/hyperlink" Target="https://academic.oup.com/gbe/article/16/6/evae112/7685168" TargetMode="External"/><Relationship Id="rId5" Type="http://schemas.openxmlformats.org/officeDocument/2006/relationships/hyperlink" Target="https://www.nature.com/articles/s41559-024-02461-1" TargetMode="External"/><Relationship Id="rId15" Type="http://schemas.openxmlformats.org/officeDocument/2006/relationships/hyperlink" Target="https://www.nature.com/articles/s41579-020-0433-9" TargetMode="External"/><Relationship Id="rId10" Type="http://schemas.openxmlformats.org/officeDocument/2006/relationships/hyperlink" Target="https://www.nature.com/scitable/definition/atp-318/"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pmc.ncbi.nlm.nih.gov/articles/PMC9531788/" TargetMode="External"/><Relationship Id="rId14" Type="http://schemas.openxmlformats.org/officeDocument/2006/relationships/hyperlink" Target="https://www.nature.com/articles/s41467-023-38778-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5</Pages>
  <Words>727</Words>
  <Characters>10073</Characters>
  <Application>Microsoft Office Word</Application>
  <DocSecurity>0</DocSecurity>
  <Lines>239</Lines>
  <Paragraphs>89</Paragraphs>
  <ScaleCrop>false</ScaleCrop>
  <Company/>
  <LinksUpToDate>false</LinksUpToDate>
  <CharactersWithSpaces>10711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Jill Jones</cp:lastModifiedBy>
  <cp:revision>2</cp:revision>
  <dcterms:created xsi:type="dcterms:W3CDTF">2026-04-11T15:27:00Z</dcterms:created>
  <dcterms:modified xsi:type="dcterms:W3CDTF">2026-04-11T15:27:00Z</dcterms:modified>
</cp:coreProperties>
</file>