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36"/>
          <w:szCs w:val="36"/>
        </w:rPr>
        <w:t xml:space="preserve">Why Tending Matters</w:t>
      </w:r>
    </w:p>
    <w:p>
      <w:pPr>
        <w:spacing w:after="180"/>
        <w:jc w:val="center"/>
      </w:pPr>
      <w:r>
        <w:rPr>
          <w:rFonts w:ascii="Georgia" w:cs="Georgia" w:eastAsia="Georgia" w:hAnsi="Georgia"/>
          <w:b/>
          <w:bCs/>
          <w:color w:val="C7A252"/>
          <w:sz w:val="20"/>
          <w:szCs w:val="20"/>
        </w:rPr>
        <w:t xml:space="preserve">The Research Behind the Garden Metaphor</w:t>
      </w:r>
    </w:p>
    <w:p>
      <w:pPr>
        <w:spacing w:after="140"/>
      </w:pPr>
      <w:r>
        <w:rPr>
          <w:rFonts w:ascii="Calibri" w:cs="Calibri" w:eastAsia="Calibri" w:hAnsi="Calibri"/>
          <w:color w:val="3A3A3A"/>
          <w:sz w:val="19"/>
          <w:szCs w:val="19"/>
        </w:rPr>
        <w:t xml:space="preserve">Friendships don't usually end in a dramatic moment — they fade through inattention. Here's what the research actually shows about how often that happens, and why it happens faster in this decade of life than people expect.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E7F0EF" w:val="clear"/>
            <w:tcMar>
              <w:top w:type="dxa" w:w="160"/>
              <w:left w:type="dxa" w:w="180"/>
              <w:bottom w:type="dxa" w:w="160"/>
              <w:right w:type="dxa" w:w="180"/>
            </w:tcMar>
            <w:vAlign w:val="center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F4E4C"/>
                <w:sz w:val="30"/>
                <w:szCs w:val="30"/>
              </w:rPr>
              <w:t xml:space="preserve">~50%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A3A3A"/>
                <w:sz w:val="16"/>
                <w:szCs w:val="16"/>
              </w:rPr>
              <w:t xml:space="preserve">of your close friends will be replaced by someone new within about 7 years — even when nothing has gone wrong.</w:t>
            </w:r>
          </w:p>
        </w:tc>
        <w:tc>
          <w:tcPr>
            <w:tcW w:type="dxa" w:w="4680"/>
            <w:shd w:fill="F2E8D5" w:val="clear"/>
            <w:tcMar>
              <w:top w:type="dxa" w:w="160"/>
              <w:left w:type="dxa" w:w="180"/>
              <w:bottom w:type="dxa" w:w="160"/>
              <w:right w:type="dxa" w:w="180"/>
            </w:tcMar>
            <w:vAlign w:val="center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F4E4C"/>
                <w:sz w:val="30"/>
                <w:szCs w:val="30"/>
              </w:rPr>
              <w:t xml:space="preserve">52.9%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A3A3A"/>
                <w:sz w:val="16"/>
                <w:szCs w:val="16"/>
              </w:rPr>
              <w:t xml:space="preserve">of adults aged 70–90 saw their core network shrink over a multi-year study. Nearly as many stayed stable or grew.</w:t>
            </w:r>
          </w:p>
        </w:tc>
      </w:tr>
      <w:tr>
        <w:tc>
          <w:tcPr>
            <w:tcW w:type="dxa" w:w="4680"/>
            <w:shd w:fill="F2E8D5" w:val="clear"/>
            <w:tcMar>
              <w:top w:type="dxa" w:w="160"/>
              <w:left w:type="dxa" w:w="180"/>
              <w:bottom w:type="dxa" w:w="160"/>
              <w:right w:type="dxa" w:w="180"/>
            </w:tcMar>
            <w:vAlign w:val="center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F4E4C"/>
                <w:sz w:val="30"/>
                <w:szCs w:val="30"/>
              </w:rPr>
              <w:t xml:space="preserve">Age 65+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A3A3A"/>
                <w:sz w:val="16"/>
                <w:szCs w:val="16"/>
              </w:rPr>
              <w:t xml:space="preserve">is when friendship-network decline speeds up — but the decline itself actually starts decades earlier, in your early 30s.</w:t>
            </w:r>
          </w:p>
        </w:tc>
        <w:tc>
          <w:tcPr>
            <w:tcW w:type="dxa" w:w="4680"/>
            <w:shd w:fill="E7F0EF" w:val="clear"/>
            <w:tcMar>
              <w:top w:type="dxa" w:w="160"/>
              <w:left w:type="dxa" w:w="180"/>
              <w:bottom w:type="dxa" w:w="160"/>
              <w:right w:type="dxa" w:w="180"/>
            </w:tcMar>
            <w:vAlign w:val="center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F4E4C"/>
                <w:sz w:val="30"/>
                <w:szCs w:val="30"/>
              </w:rPr>
              <w:t xml:space="preserve">3% → 12%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A3A3A"/>
                <w:sz w:val="16"/>
                <w:szCs w:val="16"/>
              </w:rPr>
              <w:t xml:space="preserve">the share of American adults with zero close friends, from 1990 to 2021 — a fourfold increase.</w:t>
            </w:r>
          </w:p>
        </w:tc>
      </w:tr>
      <w:tr>
        <w:tc>
          <w:tcPr>
            <w:tcW w:type="dxa" w:w="4680"/>
            <w:shd w:fill="E7F0EF" w:val="clear"/>
            <w:tcMar>
              <w:top w:type="dxa" w:w="160"/>
              <w:left w:type="dxa" w:w="180"/>
              <w:bottom w:type="dxa" w:w="160"/>
              <w:right w:type="dxa" w:w="180"/>
            </w:tcMar>
            <w:vAlign w:val="center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F4E4C"/>
                <w:sz w:val="30"/>
                <w:szCs w:val="30"/>
              </w:rPr>
              <w:t xml:space="preserve">Every ~2 wks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A3A3A"/>
                <w:sz w:val="16"/>
                <w:szCs w:val="16"/>
              </w:rPr>
              <w:t xml:space="preserve">is roughly how often contact needs to happen for a friendship to hold steady, according to friendship-maintenance research.</w:t>
            </w:r>
          </w:p>
        </w:tc>
        <w:tc>
          <w:tcPr>
            <w:tcW w:type="dxa" w:w="4680"/>
            <w:shd w:fill="F2E8D5" w:val="clear"/>
            <w:tcMar>
              <w:top w:type="dxa" w:w="160"/>
              <w:left w:type="dxa" w:w="180"/>
              <w:bottom w:type="dxa" w:w="160"/>
              <w:right w:type="dxa" w:w="180"/>
            </w:tcMar>
            <w:vAlign w:val="center"/>
          </w:tcPr>
          <w:p>
            <w:pPr>
              <w:spacing w:after="40"/>
            </w:pPr>
            <w:r>
              <w:rPr>
                <w:rFonts w:ascii="Georgia" w:cs="Georgia" w:eastAsia="Georgia" w:hAnsi="Georgia"/>
                <w:b/>
                <w:bCs/>
                <w:color w:val="1F4E4C"/>
                <w:sz w:val="30"/>
                <w:szCs w:val="30"/>
              </w:rPr>
              <w:t xml:space="preserve">2 outcomes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A3A3A"/>
                <w:sz w:val="16"/>
                <w:szCs w:val="16"/>
              </w:rPr>
              <w:t xml:space="preserve">after widowhood: networks that narrow to one relationship type are linked to higher depression; networks that stay varied often grow instead.</w:t>
            </w:r>
          </w:p>
        </w:tc>
      </w:tr>
    </w:tbl>
    <w:p>
      <w:pPr>
        <w:spacing w:after="140"/>
      </w:pPr>
      <w:r>
        <w:rPr>
          <w:rFonts w:ascii="Calibri" w:cs="Calibri" w:eastAsia="Calibri" w:hAnsi="Calibri"/>
          <w:color w:val="3A3A3A"/>
          <w:sz w:val="19"/>
          <w:szCs w:val="19"/>
        </w:rPr>
        <w:t xml:space="preserve"> </w:t>
      </w:r>
    </w:p>
    <w:p>
      <w:pPr>
        <w:spacing w:after="140"/>
      </w:pPr>
      <w:r>
        <w:rPr>
          <w:rFonts w:ascii="Calibri" w:cs="Calibri" w:eastAsia="Calibri" w:hAnsi="Calibri"/>
          <w:color w:val="3A3A3A"/>
          <w:sz w:val="19"/>
          <w:szCs w:val="19"/>
        </w:rPr>
        <w:t xml:space="preserve">The pattern across all of this: drift is the default setting, not a personal failing. Friendships fade through distancing, not conflict — a slow pulling away with no real ending. What changes the outcome isn't luck or personality, it's whether the tending is deliberate: regular contact, and relationships spread across more than one part of the garden rather than concentrated in just one.</w:t>
      </w:r>
    </w:p>
    <w:p>
      <w:pPr>
        <w:pBdr>
          <w:top w:val="single" w:color="C7A252" w:sz="4"/>
        </w:pBdr>
        <w:spacing w:after="80" w:before="200"/>
      </w:pPr>
      <w:r>
        <w:rPr>
          <w:rFonts w:ascii="Calibri" w:cs="Calibri" w:eastAsia="Calibri" w:hAnsi="Calibri"/>
          <w:b/>
          <w:bCs/>
          <w:color w:val="1F4E4C"/>
          <w:sz w:val="16"/>
          <w:szCs w:val="16"/>
        </w:rPr>
        <w:t xml:space="preserve">Sources</w:t>
      </w:r>
    </w:p>
    <w:p>
      <w:pPr>
        <w:spacing w:after="60"/>
        <w:ind w:left="200" w:hanging="200"/>
      </w:pPr>
      <w:r>
        <w:rPr>
          <w:color w:val="C7A252"/>
          <w:sz w:val="16"/>
          <w:szCs w:val="16"/>
        </w:rPr>
        <w:t xml:space="preserve">•  </w:t>
      </w:r>
      <w:r>
        <w:rPr>
          <w:rFonts w:ascii="Calibri" w:cs="Calibri" w:eastAsia="Calibri" w:hAnsi="Calibri"/>
          <w:i/>
          <w:iCs/>
          <w:color w:val="3A3A3A"/>
          <w:sz w:val="16"/>
          <w:szCs w:val="16"/>
        </w:rPr>
        <w:t xml:space="preserve">Mollenhorst, G. (Utrecht University) — 7-year social network turnover study</w:t>
      </w:r>
    </w:p>
    <w:p>
      <w:pPr>
        <w:spacing w:after="60"/>
        <w:ind w:left="200" w:hanging="200"/>
      </w:pPr>
      <w:r>
        <w:rPr>
          <w:color w:val="C7A252"/>
          <w:sz w:val="16"/>
          <w:szCs w:val="16"/>
        </w:rPr>
        <w:t xml:space="preserve">•  </w:t>
      </w:r>
      <w:r>
        <w:rPr>
          <w:rFonts w:ascii="Calibri" w:cs="Calibri" w:eastAsia="Calibri" w:hAnsi="Calibri"/>
          <w:i/>
          <w:iCs/>
          <w:color w:val="3A3A3A"/>
          <w:sz w:val="16"/>
          <w:szCs w:val="16"/>
        </w:rPr>
        <w:t xml:space="preserve">Wrzus, C., Hänel, M., Wagner, J., &amp; Neyer, F. J. (2013). Social Network Changes and Life Events Across the Life Span: A Meta-Analysis. Psychological Bulletin — 277 studies</w:t>
      </w:r>
    </w:p>
    <w:p>
      <w:pPr>
        <w:spacing w:after="60"/>
        <w:ind w:left="200" w:hanging="200"/>
      </w:pPr>
      <w:r>
        <w:rPr>
          <w:color w:val="C7A252"/>
          <w:sz w:val="16"/>
          <w:szCs w:val="16"/>
        </w:rPr>
        <w:t xml:space="preserve">•  </w:t>
      </w:r>
      <w:r>
        <w:rPr>
          <w:rFonts w:ascii="Calibri" w:cs="Calibri" w:eastAsia="Calibri" w:hAnsi="Calibri"/>
          <w:i/>
          <w:iCs/>
          <w:color w:val="3A3A3A"/>
          <w:sz w:val="16"/>
          <w:szCs w:val="16"/>
        </w:rPr>
        <w:t xml:space="preserve">Sydney Memory and Ageing Study — core network size change, ages 70–90</w:t>
      </w:r>
    </w:p>
    <w:p>
      <w:pPr>
        <w:spacing w:after="60"/>
        <w:ind w:left="200" w:hanging="200"/>
      </w:pPr>
      <w:r>
        <w:rPr>
          <w:color w:val="C7A252"/>
          <w:sz w:val="16"/>
          <w:szCs w:val="16"/>
        </w:rPr>
        <w:t xml:space="preserve">•  </w:t>
      </w:r>
      <w:r>
        <w:rPr>
          <w:rFonts w:ascii="Calibri" w:cs="Calibri" w:eastAsia="Calibri" w:hAnsi="Calibri"/>
          <w:i/>
          <w:iCs/>
          <w:color w:val="3A3A3A"/>
          <w:sz w:val="16"/>
          <w:szCs w:val="16"/>
        </w:rPr>
        <w:t xml:space="preserve">Survey Center on American Life — The State of American Friendship</w:t>
      </w:r>
    </w:p>
    <w:p>
      <w:pPr>
        <w:spacing w:after="60"/>
        <w:ind w:left="200" w:hanging="200"/>
      </w:pPr>
      <w:r>
        <w:rPr>
          <w:color w:val="C7A252"/>
          <w:sz w:val="16"/>
          <w:szCs w:val="16"/>
        </w:rPr>
        <w:t xml:space="preserve">•  </w:t>
      </w:r>
      <w:r>
        <w:rPr>
          <w:rFonts w:ascii="Calibri" w:cs="Calibri" w:eastAsia="Calibri" w:hAnsi="Calibri"/>
          <w:i/>
          <w:iCs/>
          <w:color w:val="3A3A3A"/>
          <w:sz w:val="16"/>
          <w:szCs w:val="16"/>
        </w:rPr>
        <w:t xml:space="preserve">Widowhood network-composition studies (South Korea; SHARE, Europe, 50+) on network diversity and depressive symptoms</w:t>
      </w:r>
    </w:p>
    <w:p>
      <w:pPr>
        <w:spacing w:after="60"/>
        <w:ind w:left="200" w:hanging="200"/>
      </w:pPr>
      <w:r>
        <w:rPr>
          <w:color w:val="C7A252"/>
          <w:sz w:val="16"/>
          <w:szCs w:val="16"/>
        </w:rPr>
        <w:t xml:space="preserve">•  </w:t>
      </w:r>
      <w:r>
        <w:rPr>
          <w:rFonts w:ascii="Calibri" w:cs="Calibri" w:eastAsia="Calibri" w:hAnsi="Calibri"/>
          <w:i/>
          <w:iCs/>
          <w:color w:val="3A3A3A"/>
          <w:sz w:val="16"/>
          <w:szCs w:val="16"/>
        </w:rPr>
        <w:t xml:space="preserve">Dunbar, R. — friendship-maintenance contact-frequency research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2026-08-10T17:59:52.809Z</dcterms:created>
  <dcterms:modified xsi:type="dcterms:W3CDTF">2026-08-10T17:59:52.809Z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